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8B5C8A4">
      <w:pPr>
        <w:jc w:val="center"/>
        <w:rPr>
          <w:b/>
          <w:bCs/>
          <w:sz w:val="28"/>
          <w:szCs w:val="28"/>
        </w:rPr>
      </w:pPr>
      <w:bookmarkStart w:id="0" w:name="_GoBack"/>
      <w:bookmarkEnd w:id="0"/>
      <w:r>
        <w:rPr>
          <w:b/>
          <w:bCs/>
          <w:sz w:val="28"/>
          <w:szCs w:val="28"/>
        </w:rPr>
        <w:t>Sejarah Asosiasi Universitas Terbuka Asia</w:t>
      </w:r>
    </w:p>
    <w:p w14:paraId="60DF14D1">
      <w:pPr>
        <w:jc w:val="center"/>
        <w:rPr>
          <w:b/>
          <w:bCs/>
        </w:rPr>
      </w:pPr>
      <w:r>
        <w:rPr>
          <w:b/>
          <w:bCs/>
        </w:rPr>
        <w:t>Menjadi Pemimpin Regional dalam Pendidikan Terbuka dan Jarak Jauh</w:t>
      </w:r>
    </w:p>
    <w:p w14:paraId="692E7C93">
      <w:r>
        <w:rPr>
          <w:b/>
          <w:bCs/>
        </w:rPr>
        <w:t>Editor Utama:</w:t>
      </w:r>
      <w:r>
        <w:br w:type="textWrapping"/>
      </w:r>
      <w:r>
        <w:t>Tian Belawati</w:t>
      </w:r>
    </w:p>
    <w:p w14:paraId="376E0DC3">
      <w:r>
        <w:pict>
          <v:rect id="_x0000_i1025" o:spt="1" style="height:1.5pt;width:0pt;" fillcolor="#A0A0A0" filled="t" stroked="f" coordsize="21600,21600" o:hr="t" o:hrstd="t" o:hralign="center">
            <v:path/>
            <v:fill on="t" focussize="0,0"/>
            <v:stroke on="f"/>
            <v:imagedata o:title=""/>
            <o:lock v:ext="edit"/>
            <w10:wrap type="none"/>
            <w10:anchorlock/>
          </v:rect>
        </w:pict>
      </w:r>
    </w:p>
    <w:p w14:paraId="1412BD12">
      <w:pPr>
        <w:rPr>
          <w:b/>
          <w:bCs/>
        </w:rPr>
      </w:pPr>
      <w:r>
        <w:rPr>
          <w:b/>
          <w:bCs/>
        </w:rPr>
        <w:t>KATA PENGANTAR</w:t>
      </w:r>
    </w:p>
    <w:p w14:paraId="2DEC1D1A">
      <w:r>
        <w:t>“Buku ini merupakan kumpulan upaya kolektif, tonggak sejarah, dan inisiatif transformatif yang membentuk capaian Asosiasi Universitas Terbuka Asia (AAOU) hingga hari ini.”</w:t>
      </w:r>
      <w:r>
        <w:br w:type="textWrapping"/>
      </w:r>
      <w:r>
        <w:t>— Pesan dari Ketua AAOU</w:t>
      </w:r>
    </w:p>
    <w:p w14:paraId="562545D0">
      <w:r>
        <w:t xml:space="preserve">Dengan rasa bangga dan gembira yang mendalam, saya memperkenalkan buku penting ini — </w:t>
      </w:r>
      <w:r>
        <w:rPr>
          <w:i/>
          <w:iCs/>
        </w:rPr>
        <w:t>Sejarah Asosiasi Universitas Terbuka Asia: Menjadi Pemimpin Regional dalam Pendidikan Terbuka dan Jarak Jauh</w:t>
      </w:r>
      <w:r>
        <w:t>. Buku ini menelusuri perjalanan panjang dan dinamis AAOU sejak pendiriannya hingga saat ini.</w:t>
      </w:r>
    </w:p>
    <w:p w14:paraId="6EF40E75">
      <w:r>
        <w:t>Sebagai Ketua AAOU, saya merasa terhormat menyaksikan hasil karya ilmiah dan kerja kolektif yang mendokumentasikan masa lalu, masa kini, serta visi masa depan organisasi ini.</w:t>
      </w:r>
    </w:p>
    <w:p w14:paraId="23DB8CCD">
      <w:r>
        <w:t>Sejak awal berdirinya, AAOU telah menjadi mercusuar bagi pendidikan terbuka dan jarak jauh (Open and Distance Education, ODE) di kawasan Asia-Pasifik. Misinya adalah untuk mempromosikan kolaborasi, inovasi, dan inklusivitas dalam pendidikan tinggi, serta memperluas akses bagi semua lapisan masyarakat.</w:t>
      </w:r>
    </w:p>
    <w:p w14:paraId="38B55656">
      <w:r>
        <w:t>Buku ini menggambarkan upaya kolektif, pencapaian penting, dan tonggak bersejarah yang telah membentuk AAOU. Dari perjuangan awal untuk memperoleh pengakuan hingga menjadi kekuatan utama dalam pendidikan terbuka, setiap bab mencerminkan ketekunan, visi, dan dedikasi seluruh anggotanya.</w:t>
      </w:r>
    </w:p>
    <w:p w14:paraId="1FBDEE1F">
      <w:r>
        <w:t>Melalui buku ini, pembaca akan memahami evolusi universitas terbuka, perkembangan teknologi pembelajaran jarak jauh, serta peran penting AAOU dalam memperjuangkan keadilan dan kualitas pendidikan di Asia.</w:t>
      </w:r>
    </w:p>
    <w:p w14:paraId="5464DCAC">
      <w:r>
        <w:t>Ketika kita merayakan keberhasilan masa lalu, kita juga menatap masa depan dengan tekad baru. Tantangan yang dihadapi mungkin besar, namun peluang untuk berinovasi dan berkolaborasi jauh lebih besar.</w:t>
      </w:r>
    </w:p>
    <w:p w14:paraId="3C72A247">
      <w:r>
        <w:t>Saya mengucapkan terima kasih yang tulus kepada semua penulis, peneliti, editor, dan pendukung yang telah meluangkan waktu dan keahlian mereka demi terwujudnya buku ini.</w:t>
      </w:r>
    </w:p>
    <w:p w14:paraId="14C857EF">
      <w:r>
        <w:t>Semoga buku ini menjadi saksi semangat abadi AAOU dan menginspirasi generasi penerus untuk melanjutkan perjuangan menuju pendidikan yang terbuka, inklusif, dan berkelanjutan bagi semua.</w:t>
      </w:r>
    </w:p>
    <w:p w14:paraId="64E23301">
      <w:r>
        <w:rPr>
          <w:b/>
          <w:bCs/>
        </w:rPr>
        <w:t>Ketua Asosiasi Universitas Terbuka Asia (AAOU)</w:t>
      </w:r>
    </w:p>
    <w:p w14:paraId="54CB9CA1"/>
    <w:p w14:paraId="2244C294">
      <w:pPr>
        <w:rPr>
          <w:b/>
          <w:bCs/>
        </w:rPr>
      </w:pPr>
      <w:r>
        <w:rPr>
          <w:b/>
          <w:bCs/>
        </w:rPr>
        <w:t>DAFTAR ISI</w:t>
      </w:r>
    </w:p>
    <w:p w14:paraId="42E9656F">
      <w:r>
        <w:rPr>
          <w:b/>
          <w:bCs/>
        </w:rPr>
        <w:t>BAB 1: Gambaran Umum AAOU</w:t>
      </w:r>
      <w:r>
        <w:br w:type="textWrapping"/>
      </w:r>
      <w:r>
        <w:t>Penulis: Anisa Zahwa Akbara &amp; Ayubi Cakradiwati</w:t>
      </w:r>
    </w:p>
    <w:p w14:paraId="0EE5199C">
      <w:pPr>
        <w:numPr>
          <w:ilvl w:val="0"/>
          <w:numId w:val="1"/>
        </w:numPr>
      </w:pPr>
      <w:r>
        <w:t>Sekilas tentang AAOU</w:t>
      </w:r>
    </w:p>
    <w:p w14:paraId="061437B0">
      <w:pPr>
        <w:numPr>
          <w:ilvl w:val="0"/>
          <w:numId w:val="1"/>
        </w:numPr>
      </w:pPr>
      <w:r>
        <w:t>Struktur Keanggotaan</w:t>
      </w:r>
    </w:p>
    <w:p w14:paraId="50A90F63">
      <w:pPr>
        <w:numPr>
          <w:ilvl w:val="0"/>
          <w:numId w:val="1"/>
        </w:numPr>
      </w:pPr>
      <w:r>
        <w:t>Distribusi Anggota</w:t>
      </w:r>
    </w:p>
    <w:p w14:paraId="00C02881">
      <w:pPr>
        <w:numPr>
          <w:ilvl w:val="0"/>
          <w:numId w:val="1"/>
        </w:numPr>
      </w:pPr>
      <w:r>
        <w:t>Daftar Ketua dan Sekretaris Jenderal</w:t>
      </w:r>
    </w:p>
    <w:p w14:paraId="66DE80AD">
      <w:pPr>
        <w:numPr>
          <w:ilvl w:val="0"/>
          <w:numId w:val="1"/>
        </w:numPr>
      </w:pPr>
      <w:r>
        <w:t>Tujuan dan Harapan Penulisan Buku</w:t>
      </w:r>
    </w:p>
    <w:p w14:paraId="00FB6650">
      <w:pPr>
        <w:numPr>
          <w:ilvl w:val="0"/>
          <w:numId w:val="1"/>
        </w:numPr>
      </w:pPr>
      <w:r>
        <w:t>Ringkasan Isi Buku</w:t>
      </w:r>
    </w:p>
    <w:p w14:paraId="4790B47F">
      <w:pPr>
        <w:numPr>
          <w:ilvl w:val="0"/>
          <w:numId w:val="1"/>
        </w:numPr>
      </w:pPr>
      <w:r>
        <w:t>Ucapan Terima Kasih</w:t>
      </w:r>
    </w:p>
    <w:p w14:paraId="15695723">
      <w:r>
        <w:rPr>
          <w:b/>
          <w:bCs/>
        </w:rPr>
        <w:t>BAB 2: Pendirian dan Perkembangan Awal AAOU</w:t>
      </w:r>
      <w:r>
        <w:br w:type="textWrapping"/>
      </w:r>
      <w:r>
        <w:t>Penulis: Sila Ninin Wisnantiasri, Maya Puspitasari, &amp; Tian Belawati</w:t>
      </w:r>
    </w:p>
    <w:p w14:paraId="0540A758">
      <w:r>
        <w:rPr>
          <w:b/>
          <w:bCs/>
        </w:rPr>
        <w:t>BAB 3: Program Inti dan Inisiatif Utama</w:t>
      </w:r>
      <w:r>
        <w:br w:type="textWrapping"/>
      </w:r>
      <w:r>
        <w:t>Penulis: Ayubi Cakradiwati &amp; Mohamad Rajih Radiansyah</w:t>
      </w:r>
    </w:p>
    <w:p w14:paraId="1C609557">
      <w:r>
        <w:rPr>
          <w:b/>
          <w:bCs/>
        </w:rPr>
        <w:t>BAB 4: Refleksi Misi dan Kontribusi AAOU</w:t>
      </w:r>
      <w:r>
        <w:br w:type="textWrapping"/>
      </w:r>
      <w:r>
        <w:t>Penulis: Enggar Mulyajati, Venty Febriana, Mohamad Rajih Radiansyah, &amp; Widya Rizky Pratiwi</w:t>
      </w:r>
    </w:p>
    <w:p w14:paraId="404DF130">
      <w:r>
        <w:rPr>
          <w:b/>
          <w:bCs/>
        </w:rPr>
        <w:t>BAB 5: Kemajuan Teknologi — Peluang dan Tantangan</w:t>
      </w:r>
      <w:r>
        <w:br w:type="textWrapping"/>
      </w:r>
      <w:r>
        <w:t>Penulis: Ardik Ardianto, Fauzy Rahman Kosasih, Rahmat Budiman, &amp; Tian Belawati</w:t>
      </w:r>
    </w:p>
    <w:p w14:paraId="092A9C54"/>
    <w:p w14:paraId="42BBE67B">
      <w:pPr>
        <w:rPr>
          <w:b/>
          <w:bCs/>
        </w:rPr>
      </w:pPr>
      <w:r>
        <w:rPr>
          <w:b/>
          <w:bCs/>
        </w:rPr>
        <w:t>BAB 1 — Gambaran Umum AAOU</w:t>
      </w:r>
    </w:p>
    <w:p w14:paraId="3D85DDB7">
      <w:r>
        <w:t xml:space="preserve">Asosiasi Universitas Terbuka Asia (Asian Association of Open Universities, disingkat </w:t>
      </w:r>
      <w:r>
        <w:rPr>
          <w:b/>
          <w:bCs/>
        </w:rPr>
        <w:t>AAOU</w:t>
      </w:r>
      <w:r>
        <w:t>) didirikan pada tahun 1987 di Thailand. Sejak saat itu, organisasi ini berkembang pesat dan menjadi salah satu lembaga paling berpengaruh dalam bidang pendidikan terbuka dan jarak jauh (Open and Distance Education, ODE) di kawasan Asia-Pasifik.</w:t>
      </w:r>
    </w:p>
    <w:p w14:paraId="539797EF">
      <w:r>
        <w:t>Tujuan utama AAOU adalah:</w:t>
      </w:r>
    </w:p>
    <w:p w14:paraId="79AC9F96">
      <w:pPr>
        <w:numPr>
          <w:ilvl w:val="0"/>
          <w:numId w:val="2"/>
        </w:numPr>
      </w:pPr>
      <w:r>
        <w:t>Meningkatkan pemerataan dan akses terhadap pendidikan tinggi;</w:t>
      </w:r>
    </w:p>
    <w:p w14:paraId="6E732FAE">
      <w:pPr>
        <w:numPr>
          <w:ilvl w:val="0"/>
          <w:numId w:val="2"/>
        </w:numPr>
      </w:pPr>
      <w:r>
        <w:t>Mendorong kolaborasi antar lembaga anggota;</w:t>
      </w:r>
    </w:p>
    <w:p w14:paraId="53F91F85">
      <w:pPr>
        <w:numPr>
          <w:ilvl w:val="0"/>
          <w:numId w:val="2"/>
        </w:numPr>
      </w:pPr>
      <w:r>
        <w:t>Menyebarluaskan praktik terbaik dalam pendidikan terbuka dan jarak jauh;</w:t>
      </w:r>
    </w:p>
    <w:p w14:paraId="173B0E28">
      <w:pPr>
        <w:numPr>
          <w:ilvl w:val="0"/>
          <w:numId w:val="2"/>
        </w:numPr>
      </w:pPr>
      <w:r>
        <w:t>Meningkatkan kualitas pembelajaran melalui penelitian dan inovasi.</w:t>
      </w:r>
    </w:p>
    <w:p w14:paraId="4F9ACA08">
      <w:r>
        <w:t>Anggota AAOU mencakup berbagai universitas terbuka dan lembaga pendidikan jarak jauh dari seluruh Asia dan wilayah lainnya. Keberagaman ini mencerminkan komitmen AAOU terhadap inklusivitas serta keyakinan bahwa pendidikan mampu melampaui batas geografis dan budaya.</w:t>
      </w:r>
    </w:p>
    <w:p w14:paraId="004562E9">
      <w:r>
        <w:t>AAOU secara aktif menyelenggarakan konferensi tahunan, seminar, dan proyek penelitian bersama, guna memperkuat kolaborasi antar lembaga anggota dan memajukan inovasi pedagogis.</w:t>
      </w:r>
    </w:p>
    <w:p w14:paraId="00F03B7F">
      <w:r>
        <w:t>Bidang fokus utama AAOU meliputi:</w:t>
      </w:r>
    </w:p>
    <w:p w14:paraId="1B27291E">
      <w:pPr>
        <w:numPr>
          <w:ilvl w:val="0"/>
          <w:numId w:val="3"/>
        </w:numPr>
      </w:pPr>
      <w:r>
        <w:t>Pembelajaran sepanjang hayat (Lifelong Learning);</w:t>
      </w:r>
    </w:p>
    <w:p w14:paraId="48612BAB">
      <w:pPr>
        <w:numPr>
          <w:ilvl w:val="0"/>
          <w:numId w:val="3"/>
        </w:numPr>
      </w:pPr>
      <w:r>
        <w:t>Pembelajaran berbasis teknologi (Technology-Enhanced Learning);</w:t>
      </w:r>
    </w:p>
    <w:p w14:paraId="52D50E05">
      <w:pPr>
        <w:numPr>
          <w:ilvl w:val="0"/>
          <w:numId w:val="3"/>
        </w:numPr>
      </w:pPr>
      <w:r>
        <w:t>Sistem penjaminan mutu (Quality Assurance);</w:t>
      </w:r>
    </w:p>
    <w:p w14:paraId="5287B9EB">
      <w:pPr>
        <w:numPr>
          <w:ilvl w:val="0"/>
          <w:numId w:val="3"/>
        </w:numPr>
      </w:pPr>
      <w:r>
        <w:t>Pencapaian Tujuan Pembangunan Berkelanjutan (Sustainable Development Goals).</w:t>
      </w:r>
    </w:p>
    <w:p w14:paraId="3BF45FFC">
      <w:r>
        <w:t>“AAOU adalah sumber inspirasi sekaligus wadah kolaborasi — menggabungkan prinsip aksesibilitas, inklusivitas, dan keunggulan untuk mendorong perubahan positif dalam dunia pendidikan.”</w:t>
      </w:r>
    </w:p>
    <w:p w14:paraId="53F022F9">
      <w:pPr>
        <w:rPr>
          <w:b/>
          <w:bCs/>
        </w:rPr>
      </w:pPr>
      <w:r>
        <w:rPr>
          <w:b/>
          <w:bCs/>
        </w:rPr>
        <w:t>Struktur Keanggotaan AAOU</w:t>
      </w:r>
    </w:p>
    <w:p w14:paraId="3E7A887E">
      <w:r>
        <w:t>AAOU memiliki tiga kategori keanggotaan utama:</w:t>
      </w:r>
      <w:r>
        <w:br w:type="textWrapping"/>
      </w:r>
      <w:r>
        <w:t>1️</w:t>
      </w:r>
      <w:r>
        <w:rPr>
          <w:rFonts w:ascii="Segoe UI Symbol" w:hAnsi="Segoe UI Symbol" w:cs="Segoe UI Symbol"/>
        </w:rPr>
        <w:t>⃣</w:t>
      </w:r>
      <w:r>
        <w:t xml:space="preserve"> </w:t>
      </w:r>
      <w:r>
        <w:rPr>
          <w:b/>
          <w:bCs/>
        </w:rPr>
        <w:t>Anggota Penuh dan Anggota Asosiasi (Full and Associate Members)</w:t>
      </w:r>
      <w:r>
        <w:br w:type="textWrapping"/>
      </w:r>
      <w:r>
        <w:t>2️</w:t>
      </w:r>
      <w:r>
        <w:rPr>
          <w:rFonts w:ascii="Segoe UI Symbol" w:hAnsi="Segoe UI Symbol" w:cs="Segoe UI Symbol"/>
        </w:rPr>
        <w:t>⃣</w:t>
      </w:r>
      <w:r>
        <w:t xml:space="preserve"> </w:t>
      </w:r>
      <w:r>
        <w:rPr>
          <w:b/>
          <w:bCs/>
        </w:rPr>
        <w:t>Anggota Pendukung (Supporting Members)</w:t>
      </w:r>
      <w:r>
        <w:br w:type="textWrapping"/>
      </w:r>
      <w:r>
        <w:t>3️</w:t>
      </w:r>
      <w:r>
        <w:rPr>
          <w:rFonts w:ascii="Segoe UI Symbol" w:hAnsi="Segoe UI Symbol" w:cs="Segoe UI Symbol"/>
        </w:rPr>
        <w:t>⃣</w:t>
      </w:r>
      <w:r>
        <w:t xml:space="preserve"> </w:t>
      </w:r>
      <w:r>
        <w:rPr>
          <w:b/>
          <w:bCs/>
        </w:rPr>
        <w:t>Anggota Kehormatan (Honorary Members)</w:t>
      </w:r>
    </w:p>
    <w:p w14:paraId="7DD32209">
      <w:pPr>
        <w:rPr>
          <w:b/>
          <w:bCs/>
        </w:rPr>
      </w:pPr>
      <w:r>
        <w:rPr>
          <w:b/>
          <w:bCs/>
        </w:rPr>
        <w:t>1. Anggota Penuh dan Asosiasi</w:t>
      </w:r>
    </w:p>
    <w:p w14:paraId="27CDB26D">
      <w:r>
        <w:t>Keanggotaan penuh terbuka bagi lembaga pendidikan tinggi yang secara hukum diakui dan menjadikan pendidikan terbuka dan jarak jauh (ODE) sebagai sistem utamanya.</w:t>
      </w:r>
      <w:r>
        <w:br w:type="textWrapping"/>
      </w:r>
      <w:r>
        <w:t>Anggota penuh terbatas pada universitas terbuka yang berlokasi di kawasan Asia.</w:t>
      </w:r>
    </w:p>
    <w:p w14:paraId="1942BC84">
      <w:r>
        <w:t>Hak-hak anggota penuh meliputi:</w:t>
      </w:r>
    </w:p>
    <w:p w14:paraId="3046E148">
      <w:pPr>
        <w:numPr>
          <w:ilvl w:val="0"/>
          <w:numId w:val="4"/>
        </w:numPr>
      </w:pPr>
      <w:r>
        <w:t>Dapat mencalonkan diri atau dicalonkan sebagai Ketua AAOU;</w:t>
      </w:r>
    </w:p>
    <w:p w14:paraId="2A3D4C04">
      <w:pPr>
        <w:numPr>
          <w:ilvl w:val="0"/>
          <w:numId w:val="4"/>
        </w:numPr>
      </w:pPr>
      <w:r>
        <w:t>Dapat mengajukan diri sebagai tuan rumah konferensi tahunan AAOU;</w:t>
      </w:r>
    </w:p>
    <w:p w14:paraId="0C9A0C86">
      <w:pPr>
        <w:numPr>
          <w:ilvl w:val="0"/>
          <w:numId w:val="4"/>
        </w:numPr>
      </w:pPr>
      <w:r>
        <w:t>Dapat berpartisipasi dalam seluruh kegiatan dan memiliki hak suara.</w:t>
      </w:r>
    </w:p>
    <w:p w14:paraId="0CDF26B5">
      <w:r>
        <w:t xml:space="preserve">Sementara itu, </w:t>
      </w:r>
      <w:r>
        <w:rPr>
          <w:b/>
          <w:bCs/>
        </w:rPr>
        <w:t>anggota asosiasi</w:t>
      </w:r>
      <w:r>
        <w:t xml:space="preserve"> terbuka bagi institusi mana pun yang mendukung atau menerapkan sistem ODE, baik di dalam maupun di luar Asia.</w:t>
      </w:r>
      <w:r>
        <w:br w:type="textWrapping"/>
      </w:r>
      <w:r>
        <w:t>Mereka dapat berpartisipasi dalam kegiatan AAOU tetapi tidak memiliki hak suara dalam rapat komite eksekutif.</w:t>
      </w:r>
    </w:p>
    <w:p w14:paraId="67DC9FCE"/>
    <w:p w14:paraId="15EB8891">
      <w:pPr>
        <w:rPr>
          <w:b/>
          <w:bCs/>
        </w:rPr>
      </w:pPr>
      <w:r>
        <w:rPr>
          <w:b/>
          <w:bCs/>
        </w:rPr>
        <w:t>2. Anggota Pendukung (Supporting Members)</w:t>
      </w:r>
    </w:p>
    <w:p w14:paraId="07E2D747">
      <w:r>
        <w:t>Kategori ini ditujukan bagi organisasi non-pendidikan yang ingin mendukung misi dan tujuan AAOU.</w:t>
      </w:r>
    </w:p>
    <w:p w14:paraId="246985E7">
      <w:pPr>
        <w:numPr>
          <w:ilvl w:val="0"/>
          <w:numId w:val="5"/>
        </w:numPr>
      </w:pPr>
      <w:r>
        <w:rPr>
          <w:b/>
          <w:bCs/>
        </w:rPr>
        <w:t>Donor Supporting Member</w:t>
      </w:r>
      <w:r>
        <w:t xml:space="preserve"> — organisasi yang memberikan dukungan finansial signifikan dan dapat berpartisipasi dalam kegiatan AAOU (tanpa hak suara).</w:t>
      </w:r>
    </w:p>
    <w:p w14:paraId="7F42B0DA">
      <w:pPr>
        <w:numPr>
          <w:ilvl w:val="0"/>
          <w:numId w:val="5"/>
        </w:numPr>
      </w:pPr>
      <w:r>
        <w:rPr>
          <w:b/>
          <w:bCs/>
        </w:rPr>
        <w:t>Corporate Supporting Member</w:t>
      </w:r>
      <w:r>
        <w:t xml:space="preserve"> — perusahaan yang menjalin kemitraan dengan AAOU dalam bidang teknologi, penelitian, atau penyelenggaraan acara.</w:t>
      </w:r>
    </w:p>
    <w:p w14:paraId="3C879567"/>
    <w:p w14:paraId="387B7426">
      <w:pPr>
        <w:rPr>
          <w:b/>
          <w:bCs/>
        </w:rPr>
      </w:pPr>
      <w:r>
        <w:rPr>
          <w:b/>
          <w:bCs/>
        </w:rPr>
        <w:t>3. Anggota Kehormatan (Honorary Members)</w:t>
      </w:r>
    </w:p>
    <w:p w14:paraId="7323A693">
      <w:r>
        <w:t>Dianugerahkan kepada individu yang berjasa besar bagi perkembangan pendidikan terbuka atau terhadap AAOU secara langsung.</w:t>
      </w:r>
      <w:r>
        <w:br w:type="textWrapping"/>
      </w:r>
      <w:r>
        <w:t>Kandidat diajukan oleh minimal dua pimpinan universitas anggota dan disetujui oleh Komite Eksekutif AAOU.</w:t>
      </w:r>
    </w:p>
    <w:p w14:paraId="39BA4E43">
      <w:r>
        <w:pict>
          <v:rect id="_x0000_i1026" o:spt="1" style="height:1.5pt;width:0pt;" fillcolor="#A0A0A0" filled="t" stroked="f" coordsize="21600,21600" o:hr="t" o:hrstd="t" o:hralign="center">
            <v:path/>
            <v:fill on="t" focussize="0,0"/>
            <v:stroke on="f"/>
            <v:imagedata o:title=""/>
            <o:lock v:ext="edit"/>
            <w10:wrap type="none"/>
            <w10:anchorlock/>
          </v:rect>
        </w:pict>
      </w:r>
    </w:p>
    <w:p w14:paraId="3B5939BB">
      <w:pPr>
        <w:rPr>
          <w:b/>
          <w:bCs/>
        </w:rPr>
      </w:pPr>
      <w:r>
        <w:rPr>
          <w:b/>
          <w:bCs/>
        </w:rPr>
        <w:t>Daftar Anggota Penuh AAOU (hingga 2025)</w:t>
      </w:r>
    </w:p>
    <w:tbl>
      <w:tblPr>
        <w:tblStyle w:val="13"/>
        <w:tblW w:w="0" w:type="auto"/>
        <w:tblCellSpacing w:w="15" w:type="dxa"/>
        <w:tblInd w:w="0" w:type="dxa"/>
        <w:tblLayout w:type="autofit"/>
        <w:tblCellMar>
          <w:top w:w="15" w:type="dxa"/>
          <w:left w:w="15" w:type="dxa"/>
          <w:bottom w:w="15" w:type="dxa"/>
          <w:right w:w="15" w:type="dxa"/>
        </w:tblCellMar>
      </w:tblPr>
      <w:tblGrid>
        <w:gridCol w:w="426"/>
        <w:gridCol w:w="2222"/>
        <w:gridCol w:w="6082"/>
      </w:tblGrid>
      <w:tr w14:paraId="7F904409">
        <w:tblPrEx>
          <w:tblCellMar>
            <w:top w:w="15" w:type="dxa"/>
            <w:left w:w="15" w:type="dxa"/>
            <w:bottom w:w="15" w:type="dxa"/>
            <w:right w:w="15" w:type="dxa"/>
          </w:tblCellMar>
        </w:tblPrEx>
        <w:trPr>
          <w:tblHeader/>
          <w:tblCellSpacing w:w="15" w:type="dxa"/>
        </w:trPr>
        <w:tc>
          <w:tcPr>
            <w:tcW w:w="0" w:type="auto"/>
            <w:vAlign w:val="center"/>
          </w:tcPr>
          <w:p w14:paraId="69088928">
            <w:pPr>
              <w:rPr>
                <w:b/>
                <w:bCs/>
              </w:rPr>
            </w:pPr>
            <w:r>
              <w:rPr>
                <w:b/>
                <w:bCs/>
              </w:rPr>
              <w:t>No</w:t>
            </w:r>
          </w:p>
        </w:tc>
        <w:tc>
          <w:tcPr>
            <w:tcW w:w="0" w:type="auto"/>
            <w:vAlign w:val="center"/>
          </w:tcPr>
          <w:p w14:paraId="0782B5A7">
            <w:pPr>
              <w:rPr>
                <w:b/>
                <w:bCs/>
              </w:rPr>
            </w:pPr>
            <w:r>
              <w:rPr>
                <w:b/>
                <w:bCs/>
              </w:rPr>
              <w:t>Institusi</w:t>
            </w:r>
          </w:p>
        </w:tc>
        <w:tc>
          <w:tcPr>
            <w:tcW w:w="0" w:type="auto"/>
            <w:vAlign w:val="center"/>
          </w:tcPr>
          <w:p w14:paraId="3C7F6D48">
            <w:pPr>
              <w:rPr>
                <w:b/>
                <w:bCs/>
              </w:rPr>
            </w:pPr>
            <w:r>
              <w:rPr>
                <w:b/>
                <w:bCs/>
              </w:rPr>
              <w:t>Situs Web</w:t>
            </w:r>
          </w:p>
        </w:tc>
      </w:tr>
      <w:tr w14:paraId="440FC8B8">
        <w:tblPrEx>
          <w:tblCellMar>
            <w:top w:w="15" w:type="dxa"/>
            <w:left w:w="15" w:type="dxa"/>
            <w:bottom w:w="15" w:type="dxa"/>
            <w:right w:w="15" w:type="dxa"/>
          </w:tblCellMar>
        </w:tblPrEx>
        <w:trPr>
          <w:tblCellSpacing w:w="15" w:type="dxa"/>
        </w:trPr>
        <w:tc>
          <w:tcPr>
            <w:tcW w:w="0" w:type="auto"/>
            <w:vAlign w:val="center"/>
          </w:tcPr>
          <w:p w14:paraId="5C8F0827">
            <w:r>
              <w:t>1</w:t>
            </w:r>
          </w:p>
        </w:tc>
        <w:tc>
          <w:tcPr>
            <w:tcW w:w="0" w:type="auto"/>
            <w:vAlign w:val="center"/>
          </w:tcPr>
          <w:p w14:paraId="763895CF">
            <w:r>
              <w:t>Al-Quds Open University (Palestina)</w:t>
            </w:r>
          </w:p>
        </w:tc>
        <w:tc>
          <w:tcPr>
            <w:tcW w:w="0" w:type="auto"/>
            <w:vAlign w:val="center"/>
          </w:tcPr>
          <w:p w14:paraId="73D817A3">
            <w:r>
              <w:fldChar w:fldCharType="begin"/>
            </w:r>
            <w:r>
              <w:instrText xml:space="preserve"> HYPERLINK "https://www.qou.edu/" \t "_new" </w:instrText>
            </w:r>
            <w:r>
              <w:fldChar w:fldCharType="separate"/>
            </w:r>
            <w:r>
              <w:rPr>
                <w:rStyle w:val="15"/>
              </w:rPr>
              <w:t>https://www.qou.edu/</w:t>
            </w:r>
            <w:r>
              <w:rPr>
                <w:rStyle w:val="15"/>
              </w:rPr>
              <w:fldChar w:fldCharType="end"/>
            </w:r>
          </w:p>
        </w:tc>
      </w:tr>
      <w:tr w14:paraId="7389A8BB">
        <w:tblPrEx>
          <w:tblCellMar>
            <w:top w:w="15" w:type="dxa"/>
            <w:left w:w="15" w:type="dxa"/>
            <w:bottom w:w="15" w:type="dxa"/>
            <w:right w:w="15" w:type="dxa"/>
          </w:tblCellMar>
        </w:tblPrEx>
        <w:trPr>
          <w:tblCellSpacing w:w="15" w:type="dxa"/>
        </w:trPr>
        <w:tc>
          <w:tcPr>
            <w:tcW w:w="0" w:type="auto"/>
            <w:vAlign w:val="center"/>
          </w:tcPr>
          <w:p w14:paraId="2C94021A">
            <w:r>
              <w:t>2</w:t>
            </w:r>
          </w:p>
        </w:tc>
        <w:tc>
          <w:tcPr>
            <w:tcW w:w="0" w:type="auto"/>
            <w:vAlign w:val="center"/>
          </w:tcPr>
          <w:p w14:paraId="45216F52">
            <w:r>
              <w:t>Allama Iqbal Open University (Pakistan)</w:t>
            </w:r>
          </w:p>
        </w:tc>
        <w:tc>
          <w:tcPr>
            <w:tcW w:w="0" w:type="auto"/>
            <w:vAlign w:val="center"/>
          </w:tcPr>
          <w:p w14:paraId="2EB86865">
            <w:r>
              <w:fldChar w:fldCharType="begin"/>
            </w:r>
            <w:r>
              <w:instrText xml:space="preserve"> HYPERLINK "https://www.aiou.edu.pk/" \t "_new" </w:instrText>
            </w:r>
            <w:r>
              <w:fldChar w:fldCharType="separate"/>
            </w:r>
            <w:r>
              <w:rPr>
                <w:rStyle w:val="15"/>
              </w:rPr>
              <w:t>https://www.aiou.edu.pk/</w:t>
            </w:r>
            <w:r>
              <w:rPr>
                <w:rStyle w:val="15"/>
              </w:rPr>
              <w:fldChar w:fldCharType="end"/>
            </w:r>
          </w:p>
        </w:tc>
      </w:tr>
      <w:tr w14:paraId="4A0EDCBA">
        <w:tblPrEx>
          <w:tblCellMar>
            <w:top w:w="15" w:type="dxa"/>
            <w:left w:w="15" w:type="dxa"/>
            <w:bottom w:w="15" w:type="dxa"/>
            <w:right w:w="15" w:type="dxa"/>
          </w:tblCellMar>
        </w:tblPrEx>
        <w:trPr>
          <w:tblCellSpacing w:w="15" w:type="dxa"/>
        </w:trPr>
        <w:tc>
          <w:tcPr>
            <w:tcW w:w="0" w:type="auto"/>
            <w:vAlign w:val="center"/>
          </w:tcPr>
          <w:p w14:paraId="031AF710">
            <w:r>
              <w:t>3</w:t>
            </w:r>
          </w:p>
        </w:tc>
        <w:tc>
          <w:tcPr>
            <w:tcW w:w="0" w:type="auto"/>
            <w:vAlign w:val="center"/>
          </w:tcPr>
          <w:p w14:paraId="3C84CE4B">
            <w:r>
              <w:t>Anadolu University (Turki)</w:t>
            </w:r>
          </w:p>
        </w:tc>
        <w:tc>
          <w:tcPr>
            <w:tcW w:w="0" w:type="auto"/>
            <w:vAlign w:val="center"/>
          </w:tcPr>
          <w:p w14:paraId="4DEAF6E7">
            <w:r>
              <w:fldChar w:fldCharType="begin"/>
            </w:r>
            <w:r>
              <w:instrText xml:space="preserve"> HYPERLINK "https://www.anadolu.edu.tr/en" \t "_new" </w:instrText>
            </w:r>
            <w:r>
              <w:fldChar w:fldCharType="separate"/>
            </w:r>
            <w:r>
              <w:rPr>
                <w:rStyle w:val="15"/>
              </w:rPr>
              <w:t>https://www.anadolu.edu.tr/en</w:t>
            </w:r>
            <w:r>
              <w:rPr>
                <w:rStyle w:val="15"/>
              </w:rPr>
              <w:fldChar w:fldCharType="end"/>
            </w:r>
          </w:p>
        </w:tc>
      </w:tr>
      <w:tr w14:paraId="40201D66">
        <w:tblPrEx>
          <w:tblCellMar>
            <w:top w:w="15" w:type="dxa"/>
            <w:left w:w="15" w:type="dxa"/>
            <w:bottom w:w="15" w:type="dxa"/>
            <w:right w:w="15" w:type="dxa"/>
          </w:tblCellMar>
        </w:tblPrEx>
        <w:trPr>
          <w:tblCellSpacing w:w="15" w:type="dxa"/>
        </w:trPr>
        <w:tc>
          <w:tcPr>
            <w:tcW w:w="0" w:type="auto"/>
            <w:vAlign w:val="center"/>
          </w:tcPr>
          <w:p w14:paraId="3736991F">
            <w:r>
              <w:t>4</w:t>
            </w:r>
          </w:p>
        </w:tc>
        <w:tc>
          <w:tcPr>
            <w:tcW w:w="0" w:type="auto"/>
            <w:vAlign w:val="center"/>
          </w:tcPr>
          <w:p w14:paraId="449D1407">
            <w:r>
              <w:t>Asia e-University (Malaysia)</w:t>
            </w:r>
          </w:p>
        </w:tc>
        <w:tc>
          <w:tcPr>
            <w:tcW w:w="0" w:type="auto"/>
            <w:vAlign w:val="center"/>
          </w:tcPr>
          <w:p w14:paraId="59161B3F">
            <w:r>
              <w:fldChar w:fldCharType="begin"/>
            </w:r>
            <w:r>
              <w:instrText xml:space="preserve"> HYPERLINK "https://aeu.edu.my/" \t "_new" </w:instrText>
            </w:r>
            <w:r>
              <w:fldChar w:fldCharType="separate"/>
            </w:r>
            <w:r>
              <w:rPr>
                <w:rStyle w:val="15"/>
              </w:rPr>
              <w:t>https://aeu.edu.my/</w:t>
            </w:r>
            <w:r>
              <w:rPr>
                <w:rStyle w:val="15"/>
              </w:rPr>
              <w:fldChar w:fldCharType="end"/>
            </w:r>
          </w:p>
        </w:tc>
      </w:tr>
      <w:tr w14:paraId="2DEC5EA2">
        <w:tblPrEx>
          <w:tblCellMar>
            <w:top w:w="15" w:type="dxa"/>
            <w:left w:w="15" w:type="dxa"/>
            <w:bottom w:w="15" w:type="dxa"/>
            <w:right w:w="15" w:type="dxa"/>
          </w:tblCellMar>
        </w:tblPrEx>
        <w:trPr>
          <w:tblCellSpacing w:w="15" w:type="dxa"/>
        </w:trPr>
        <w:tc>
          <w:tcPr>
            <w:tcW w:w="0" w:type="auto"/>
            <w:vAlign w:val="center"/>
          </w:tcPr>
          <w:p w14:paraId="2B149FE8">
            <w:r>
              <w:t>5</w:t>
            </w:r>
          </w:p>
        </w:tc>
        <w:tc>
          <w:tcPr>
            <w:tcW w:w="0" w:type="auto"/>
            <w:vAlign w:val="center"/>
          </w:tcPr>
          <w:p w14:paraId="5147568E">
            <w:r>
              <w:t>Bangladesh Open University (Bangladesh)</w:t>
            </w:r>
          </w:p>
        </w:tc>
        <w:tc>
          <w:tcPr>
            <w:tcW w:w="0" w:type="auto"/>
            <w:vAlign w:val="center"/>
          </w:tcPr>
          <w:p w14:paraId="38D0662B">
            <w:r>
              <w:fldChar w:fldCharType="begin"/>
            </w:r>
            <w:r>
              <w:instrText xml:space="preserve"> HYPERLINK "https://www.bou.ac.bd/" \t "_new" </w:instrText>
            </w:r>
            <w:r>
              <w:fldChar w:fldCharType="separate"/>
            </w:r>
            <w:r>
              <w:rPr>
                <w:rStyle w:val="15"/>
              </w:rPr>
              <w:t>https://www.bou.ac.bd/</w:t>
            </w:r>
            <w:r>
              <w:rPr>
                <w:rStyle w:val="15"/>
              </w:rPr>
              <w:fldChar w:fldCharType="end"/>
            </w:r>
          </w:p>
        </w:tc>
      </w:tr>
      <w:tr w14:paraId="7961DE7E">
        <w:tblPrEx>
          <w:tblCellMar>
            <w:top w:w="15" w:type="dxa"/>
            <w:left w:w="15" w:type="dxa"/>
            <w:bottom w:w="15" w:type="dxa"/>
            <w:right w:w="15" w:type="dxa"/>
          </w:tblCellMar>
        </w:tblPrEx>
        <w:trPr>
          <w:tblCellSpacing w:w="15" w:type="dxa"/>
        </w:trPr>
        <w:tc>
          <w:tcPr>
            <w:tcW w:w="0" w:type="auto"/>
            <w:vAlign w:val="center"/>
          </w:tcPr>
          <w:p w14:paraId="5FF72C9D">
            <w:r>
              <w:t>6</w:t>
            </w:r>
          </w:p>
        </w:tc>
        <w:tc>
          <w:tcPr>
            <w:tcW w:w="0" w:type="auto"/>
            <w:vAlign w:val="center"/>
          </w:tcPr>
          <w:p w14:paraId="287772FB">
            <w:r>
              <w:t>Beijing Open University (Tiongkok)</w:t>
            </w:r>
          </w:p>
        </w:tc>
        <w:tc>
          <w:tcPr>
            <w:tcW w:w="0" w:type="auto"/>
            <w:vAlign w:val="center"/>
          </w:tcPr>
          <w:p w14:paraId="0982C8E6">
            <w:r>
              <w:fldChar w:fldCharType="begin"/>
            </w:r>
            <w:r>
              <w:instrText xml:space="preserve"> HYPERLINK "https://www.bjou.edu.cn/" \t "_new" </w:instrText>
            </w:r>
            <w:r>
              <w:fldChar w:fldCharType="separate"/>
            </w:r>
            <w:r>
              <w:rPr>
                <w:rStyle w:val="15"/>
              </w:rPr>
              <w:t>https://www.bjou.edu.cn/</w:t>
            </w:r>
            <w:r>
              <w:rPr>
                <w:rStyle w:val="15"/>
              </w:rPr>
              <w:fldChar w:fldCharType="end"/>
            </w:r>
          </w:p>
        </w:tc>
      </w:tr>
      <w:tr w14:paraId="1E80F194">
        <w:tblPrEx>
          <w:tblCellMar>
            <w:top w:w="15" w:type="dxa"/>
            <w:left w:w="15" w:type="dxa"/>
            <w:bottom w:w="15" w:type="dxa"/>
            <w:right w:w="15" w:type="dxa"/>
          </w:tblCellMar>
        </w:tblPrEx>
        <w:trPr>
          <w:tblCellSpacing w:w="15" w:type="dxa"/>
        </w:trPr>
        <w:tc>
          <w:tcPr>
            <w:tcW w:w="0" w:type="auto"/>
            <w:vAlign w:val="center"/>
          </w:tcPr>
          <w:p w14:paraId="3AA177CB">
            <w:r>
              <w:t>7</w:t>
            </w:r>
          </w:p>
        </w:tc>
        <w:tc>
          <w:tcPr>
            <w:tcW w:w="0" w:type="auto"/>
            <w:vAlign w:val="center"/>
          </w:tcPr>
          <w:p w14:paraId="5F7D6F80">
            <w:r>
              <w:t>Dr. B.R. Ambedkar Open University (India)</w:t>
            </w:r>
          </w:p>
        </w:tc>
        <w:tc>
          <w:tcPr>
            <w:tcW w:w="0" w:type="auto"/>
            <w:vAlign w:val="center"/>
          </w:tcPr>
          <w:p w14:paraId="6A2B69A6">
            <w:r>
              <w:fldChar w:fldCharType="begin"/>
            </w:r>
            <w:r>
              <w:instrText xml:space="preserve"> HYPERLINK "https://www.braou.ac.in/" \t "_new" </w:instrText>
            </w:r>
            <w:r>
              <w:fldChar w:fldCharType="separate"/>
            </w:r>
            <w:r>
              <w:rPr>
                <w:rStyle w:val="15"/>
              </w:rPr>
              <w:t>https://www.braou.ac.in/</w:t>
            </w:r>
            <w:r>
              <w:rPr>
                <w:rStyle w:val="15"/>
              </w:rPr>
              <w:fldChar w:fldCharType="end"/>
            </w:r>
          </w:p>
        </w:tc>
      </w:tr>
      <w:tr w14:paraId="2F0153AE">
        <w:tblPrEx>
          <w:tblCellMar>
            <w:top w:w="15" w:type="dxa"/>
            <w:left w:w="15" w:type="dxa"/>
            <w:bottom w:w="15" w:type="dxa"/>
            <w:right w:w="15" w:type="dxa"/>
          </w:tblCellMar>
        </w:tblPrEx>
        <w:trPr>
          <w:tblCellSpacing w:w="15" w:type="dxa"/>
        </w:trPr>
        <w:tc>
          <w:tcPr>
            <w:tcW w:w="0" w:type="auto"/>
            <w:vAlign w:val="center"/>
          </w:tcPr>
          <w:p w14:paraId="53C0804C">
            <w:r>
              <w:t>8</w:t>
            </w:r>
          </w:p>
        </w:tc>
        <w:tc>
          <w:tcPr>
            <w:tcW w:w="0" w:type="auto"/>
            <w:vAlign w:val="center"/>
          </w:tcPr>
          <w:p w14:paraId="1B06D308">
            <w:r>
              <w:t>Dr. Babasaheb Ambedkar Open University (India)</w:t>
            </w:r>
          </w:p>
        </w:tc>
        <w:tc>
          <w:tcPr>
            <w:tcW w:w="0" w:type="auto"/>
            <w:vAlign w:val="center"/>
          </w:tcPr>
          <w:p w14:paraId="6FDA9133">
            <w:r>
              <w:fldChar w:fldCharType="begin"/>
            </w:r>
            <w:r>
              <w:instrText xml:space="preserve"> HYPERLINK "https://baou.edu.in/" \t "_new" </w:instrText>
            </w:r>
            <w:r>
              <w:fldChar w:fldCharType="separate"/>
            </w:r>
            <w:r>
              <w:rPr>
                <w:rStyle w:val="15"/>
              </w:rPr>
              <w:t>https://baou.edu.in/</w:t>
            </w:r>
            <w:r>
              <w:rPr>
                <w:rStyle w:val="15"/>
              </w:rPr>
              <w:fldChar w:fldCharType="end"/>
            </w:r>
          </w:p>
        </w:tc>
      </w:tr>
      <w:tr w14:paraId="54CC7529">
        <w:tblPrEx>
          <w:tblCellMar>
            <w:top w:w="15" w:type="dxa"/>
            <w:left w:w="15" w:type="dxa"/>
            <w:bottom w:w="15" w:type="dxa"/>
            <w:right w:w="15" w:type="dxa"/>
          </w:tblCellMar>
        </w:tblPrEx>
        <w:trPr>
          <w:tblCellSpacing w:w="15" w:type="dxa"/>
        </w:trPr>
        <w:tc>
          <w:tcPr>
            <w:tcW w:w="0" w:type="auto"/>
            <w:vAlign w:val="center"/>
          </w:tcPr>
          <w:p w14:paraId="60F40151">
            <w:r>
              <w:t>9</w:t>
            </w:r>
          </w:p>
        </w:tc>
        <w:tc>
          <w:tcPr>
            <w:tcW w:w="0" w:type="auto"/>
            <w:vAlign w:val="center"/>
          </w:tcPr>
          <w:p w14:paraId="0BE368BB">
            <w:r>
              <w:t>Guangdong Open University (Tiongkok)</w:t>
            </w:r>
          </w:p>
        </w:tc>
        <w:tc>
          <w:tcPr>
            <w:tcW w:w="0" w:type="auto"/>
            <w:vAlign w:val="center"/>
          </w:tcPr>
          <w:p w14:paraId="2E357B6B">
            <w:r>
              <w:fldChar w:fldCharType="begin"/>
            </w:r>
            <w:r>
              <w:instrText xml:space="preserve"> HYPERLINK "https://www.gdrtvu.edu.cn/index.htm" \t "_new" </w:instrText>
            </w:r>
            <w:r>
              <w:fldChar w:fldCharType="separate"/>
            </w:r>
            <w:r>
              <w:rPr>
                <w:rStyle w:val="15"/>
              </w:rPr>
              <w:t>https://www.gdrtvu.edu.cn/index.htm</w:t>
            </w:r>
            <w:r>
              <w:rPr>
                <w:rStyle w:val="15"/>
              </w:rPr>
              <w:fldChar w:fldCharType="end"/>
            </w:r>
          </w:p>
        </w:tc>
      </w:tr>
      <w:tr w14:paraId="6E56F6B2">
        <w:tblPrEx>
          <w:tblCellMar>
            <w:top w:w="15" w:type="dxa"/>
            <w:left w:w="15" w:type="dxa"/>
            <w:bottom w:w="15" w:type="dxa"/>
            <w:right w:w="15" w:type="dxa"/>
          </w:tblCellMar>
        </w:tblPrEx>
        <w:trPr>
          <w:tblCellSpacing w:w="15" w:type="dxa"/>
        </w:trPr>
        <w:tc>
          <w:tcPr>
            <w:tcW w:w="0" w:type="auto"/>
            <w:vAlign w:val="center"/>
          </w:tcPr>
          <w:p w14:paraId="42B79610">
            <w:r>
              <w:t>10</w:t>
            </w:r>
          </w:p>
        </w:tc>
        <w:tc>
          <w:tcPr>
            <w:tcW w:w="0" w:type="auto"/>
            <w:vAlign w:val="center"/>
          </w:tcPr>
          <w:p w14:paraId="1804BA6F">
            <w:r>
              <w:t>Hanoi Open University (Vietnam)</w:t>
            </w:r>
          </w:p>
        </w:tc>
        <w:tc>
          <w:tcPr>
            <w:tcW w:w="0" w:type="auto"/>
            <w:vAlign w:val="center"/>
          </w:tcPr>
          <w:p w14:paraId="0870E6E8">
            <w:r>
              <w:fldChar w:fldCharType="begin"/>
            </w:r>
            <w:r>
              <w:instrText xml:space="preserve"> HYPERLINK "https://en.hou.edu.vn/" \t "_new" </w:instrText>
            </w:r>
            <w:r>
              <w:fldChar w:fldCharType="separate"/>
            </w:r>
            <w:r>
              <w:rPr>
                <w:rStyle w:val="15"/>
              </w:rPr>
              <w:t>https://en.hou.edu.vn/</w:t>
            </w:r>
            <w:r>
              <w:rPr>
                <w:rStyle w:val="15"/>
              </w:rPr>
              <w:fldChar w:fldCharType="end"/>
            </w:r>
          </w:p>
        </w:tc>
      </w:tr>
      <w:tr w14:paraId="3BEE60CE">
        <w:tblPrEx>
          <w:tblCellMar>
            <w:top w:w="15" w:type="dxa"/>
            <w:left w:w="15" w:type="dxa"/>
            <w:bottom w:w="15" w:type="dxa"/>
            <w:right w:w="15" w:type="dxa"/>
          </w:tblCellMar>
        </w:tblPrEx>
        <w:trPr>
          <w:tblCellSpacing w:w="15" w:type="dxa"/>
        </w:trPr>
        <w:tc>
          <w:tcPr>
            <w:tcW w:w="0" w:type="auto"/>
            <w:vAlign w:val="center"/>
          </w:tcPr>
          <w:p w14:paraId="1942EF25">
            <w:r>
              <w:t>11</w:t>
            </w:r>
          </w:p>
        </w:tc>
        <w:tc>
          <w:tcPr>
            <w:tcW w:w="0" w:type="auto"/>
            <w:vAlign w:val="center"/>
          </w:tcPr>
          <w:p w14:paraId="37DD283F">
            <w:r>
              <w:t>Hanyang Cyber University (Korea Selatan)</w:t>
            </w:r>
          </w:p>
        </w:tc>
        <w:tc>
          <w:tcPr>
            <w:tcW w:w="0" w:type="auto"/>
            <w:vAlign w:val="center"/>
          </w:tcPr>
          <w:p w14:paraId="3A5DCF81">
            <w:r>
              <w:fldChar w:fldCharType="begin"/>
            </w:r>
            <w:r>
              <w:instrText xml:space="preserve"> HYPERLINK "https://en.hycu.ac.kr/" \t "_new" </w:instrText>
            </w:r>
            <w:r>
              <w:fldChar w:fldCharType="separate"/>
            </w:r>
            <w:r>
              <w:rPr>
                <w:rStyle w:val="15"/>
              </w:rPr>
              <w:t>https://en.hycu.ac.kr/</w:t>
            </w:r>
            <w:r>
              <w:rPr>
                <w:rStyle w:val="15"/>
              </w:rPr>
              <w:fldChar w:fldCharType="end"/>
            </w:r>
          </w:p>
        </w:tc>
      </w:tr>
      <w:tr w14:paraId="1837663A">
        <w:tblPrEx>
          <w:tblCellMar>
            <w:top w:w="15" w:type="dxa"/>
            <w:left w:w="15" w:type="dxa"/>
            <w:bottom w:w="15" w:type="dxa"/>
            <w:right w:w="15" w:type="dxa"/>
          </w:tblCellMar>
        </w:tblPrEx>
        <w:trPr>
          <w:tblCellSpacing w:w="15" w:type="dxa"/>
        </w:trPr>
        <w:tc>
          <w:tcPr>
            <w:tcW w:w="0" w:type="auto"/>
            <w:vAlign w:val="center"/>
          </w:tcPr>
          <w:p w14:paraId="4304899D">
            <w:r>
              <w:t>12</w:t>
            </w:r>
          </w:p>
        </w:tc>
        <w:tc>
          <w:tcPr>
            <w:tcW w:w="0" w:type="auto"/>
            <w:vAlign w:val="center"/>
          </w:tcPr>
          <w:p w14:paraId="20203084">
            <w:r>
              <w:t>Ho Chi Minh City Open University (Vietnam)</w:t>
            </w:r>
          </w:p>
        </w:tc>
        <w:tc>
          <w:tcPr>
            <w:tcW w:w="0" w:type="auto"/>
            <w:vAlign w:val="center"/>
          </w:tcPr>
          <w:p w14:paraId="0DF201B0">
            <w:r>
              <w:fldChar w:fldCharType="begin"/>
            </w:r>
            <w:r>
              <w:instrText xml:space="preserve"> HYPERLINK "http://en.ou.edu.vn/" \t "_new" </w:instrText>
            </w:r>
            <w:r>
              <w:fldChar w:fldCharType="separate"/>
            </w:r>
            <w:r>
              <w:rPr>
                <w:rStyle w:val="15"/>
              </w:rPr>
              <w:t>http://en.ou.edu.vn/</w:t>
            </w:r>
            <w:r>
              <w:rPr>
                <w:rStyle w:val="15"/>
              </w:rPr>
              <w:fldChar w:fldCharType="end"/>
            </w:r>
          </w:p>
        </w:tc>
      </w:tr>
      <w:tr w14:paraId="609F510D">
        <w:tblPrEx>
          <w:tblCellMar>
            <w:top w:w="15" w:type="dxa"/>
            <w:left w:w="15" w:type="dxa"/>
            <w:bottom w:w="15" w:type="dxa"/>
            <w:right w:w="15" w:type="dxa"/>
          </w:tblCellMar>
        </w:tblPrEx>
        <w:trPr>
          <w:tblCellSpacing w:w="15" w:type="dxa"/>
        </w:trPr>
        <w:tc>
          <w:tcPr>
            <w:tcW w:w="0" w:type="auto"/>
            <w:vAlign w:val="center"/>
          </w:tcPr>
          <w:p w14:paraId="205975C5">
            <w:r>
              <w:t>13</w:t>
            </w:r>
          </w:p>
        </w:tc>
        <w:tc>
          <w:tcPr>
            <w:tcW w:w="0" w:type="auto"/>
            <w:vAlign w:val="center"/>
          </w:tcPr>
          <w:p w14:paraId="2307D0F9">
            <w:r>
              <w:t>Inner Mongolia Open University (Tiongkok)</w:t>
            </w:r>
          </w:p>
        </w:tc>
        <w:tc>
          <w:tcPr>
            <w:tcW w:w="0" w:type="auto"/>
            <w:vAlign w:val="center"/>
          </w:tcPr>
          <w:p w14:paraId="7DE8A217">
            <w:r>
              <w:fldChar w:fldCharType="begin"/>
            </w:r>
            <w:r>
              <w:instrText xml:space="preserve"> HYPERLINK "https://www.imou.edu.cn/" \t "_new" </w:instrText>
            </w:r>
            <w:r>
              <w:fldChar w:fldCharType="separate"/>
            </w:r>
            <w:r>
              <w:rPr>
                <w:rStyle w:val="15"/>
              </w:rPr>
              <w:t>https://www.imou.edu.cn/</w:t>
            </w:r>
            <w:r>
              <w:rPr>
                <w:rStyle w:val="15"/>
              </w:rPr>
              <w:fldChar w:fldCharType="end"/>
            </w:r>
          </w:p>
        </w:tc>
      </w:tr>
      <w:tr w14:paraId="6C8E22C9">
        <w:tblPrEx>
          <w:tblCellMar>
            <w:top w:w="15" w:type="dxa"/>
            <w:left w:w="15" w:type="dxa"/>
            <w:bottom w:w="15" w:type="dxa"/>
            <w:right w:w="15" w:type="dxa"/>
          </w:tblCellMar>
        </w:tblPrEx>
        <w:trPr>
          <w:tblCellSpacing w:w="15" w:type="dxa"/>
        </w:trPr>
        <w:tc>
          <w:tcPr>
            <w:tcW w:w="0" w:type="auto"/>
            <w:vAlign w:val="center"/>
          </w:tcPr>
          <w:p w14:paraId="5AF553EF">
            <w:r>
              <w:t>14</w:t>
            </w:r>
          </w:p>
        </w:tc>
        <w:tc>
          <w:tcPr>
            <w:tcW w:w="0" w:type="auto"/>
            <w:vAlign w:val="center"/>
          </w:tcPr>
          <w:p w14:paraId="10A1ED77">
            <w:r>
              <w:t>Jiangsu Open University (Tiongkok)</w:t>
            </w:r>
          </w:p>
        </w:tc>
        <w:tc>
          <w:tcPr>
            <w:tcW w:w="0" w:type="auto"/>
            <w:vAlign w:val="center"/>
          </w:tcPr>
          <w:p w14:paraId="2F1FA873">
            <w:r>
              <w:fldChar w:fldCharType="begin"/>
            </w:r>
            <w:r>
              <w:instrText xml:space="preserve"> HYPERLINK "http://en.jsou.edu.cn/mainm.htm" \t "_new" </w:instrText>
            </w:r>
            <w:r>
              <w:fldChar w:fldCharType="separate"/>
            </w:r>
            <w:r>
              <w:rPr>
                <w:rStyle w:val="15"/>
              </w:rPr>
              <w:t>http://en.jsou.edu.cn/mainm.htm</w:t>
            </w:r>
            <w:r>
              <w:rPr>
                <w:rStyle w:val="15"/>
              </w:rPr>
              <w:fldChar w:fldCharType="end"/>
            </w:r>
          </w:p>
        </w:tc>
      </w:tr>
      <w:tr w14:paraId="78A5850A">
        <w:tblPrEx>
          <w:tblCellMar>
            <w:top w:w="15" w:type="dxa"/>
            <w:left w:w="15" w:type="dxa"/>
            <w:bottom w:w="15" w:type="dxa"/>
            <w:right w:w="15" w:type="dxa"/>
          </w:tblCellMar>
        </w:tblPrEx>
        <w:trPr>
          <w:tblCellSpacing w:w="15" w:type="dxa"/>
        </w:trPr>
        <w:tc>
          <w:tcPr>
            <w:tcW w:w="0" w:type="auto"/>
            <w:vAlign w:val="center"/>
          </w:tcPr>
          <w:p w14:paraId="23D95F26">
            <w:r>
              <w:t>15</w:t>
            </w:r>
          </w:p>
        </w:tc>
        <w:tc>
          <w:tcPr>
            <w:tcW w:w="0" w:type="auto"/>
            <w:vAlign w:val="center"/>
          </w:tcPr>
          <w:p w14:paraId="6523FE75">
            <w:r>
              <w:t>Korea National Open University (Korea Selatan)</w:t>
            </w:r>
          </w:p>
        </w:tc>
        <w:tc>
          <w:tcPr>
            <w:tcW w:w="0" w:type="auto"/>
            <w:vAlign w:val="center"/>
          </w:tcPr>
          <w:p w14:paraId="30E5BD8D">
            <w:r>
              <w:fldChar w:fldCharType="begin"/>
            </w:r>
            <w:r>
              <w:instrText xml:space="preserve"> HYPERLINK "https://engknou.knou.ac.kr/" \t "_new" </w:instrText>
            </w:r>
            <w:r>
              <w:fldChar w:fldCharType="separate"/>
            </w:r>
            <w:r>
              <w:rPr>
                <w:rStyle w:val="15"/>
              </w:rPr>
              <w:t>https://engknou.knou.ac.kr/</w:t>
            </w:r>
            <w:r>
              <w:rPr>
                <w:rStyle w:val="15"/>
              </w:rPr>
              <w:fldChar w:fldCharType="end"/>
            </w:r>
          </w:p>
        </w:tc>
      </w:tr>
      <w:tr w14:paraId="16757077">
        <w:tblPrEx>
          <w:tblCellMar>
            <w:top w:w="15" w:type="dxa"/>
            <w:left w:w="15" w:type="dxa"/>
            <w:bottom w:w="15" w:type="dxa"/>
            <w:right w:w="15" w:type="dxa"/>
          </w:tblCellMar>
        </w:tblPrEx>
        <w:trPr>
          <w:tblCellSpacing w:w="15" w:type="dxa"/>
        </w:trPr>
        <w:tc>
          <w:tcPr>
            <w:tcW w:w="0" w:type="auto"/>
            <w:vAlign w:val="center"/>
          </w:tcPr>
          <w:p w14:paraId="00EDC108">
            <w:r>
              <w:t>16</w:t>
            </w:r>
          </w:p>
        </w:tc>
        <w:tc>
          <w:tcPr>
            <w:tcW w:w="0" w:type="auto"/>
            <w:vAlign w:val="center"/>
          </w:tcPr>
          <w:p w14:paraId="3C12EEB4">
            <w:r>
              <w:t>National Open University (Taiwan)</w:t>
            </w:r>
          </w:p>
        </w:tc>
        <w:tc>
          <w:tcPr>
            <w:tcW w:w="0" w:type="auto"/>
            <w:vAlign w:val="center"/>
          </w:tcPr>
          <w:p w14:paraId="3D5C3BF8">
            <w:r>
              <w:fldChar w:fldCharType="begin"/>
            </w:r>
            <w:r>
              <w:instrText xml:space="preserve"> HYPERLINK "https://www106.nou.edu.tw/~eng/" \t "_new" </w:instrText>
            </w:r>
            <w:r>
              <w:fldChar w:fldCharType="separate"/>
            </w:r>
            <w:r>
              <w:rPr>
                <w:rStyle w:val="15"/>
              </w:rPr>
              <w:t>https://www106.nou.edu.tw/~eng/</w:t>
            </w:r>
            <w:r>
              <w:rPr>
                <w:rStyle w:val="15"/>
              </w:rPr>
              <w:fldChar w:fldCharType="end"/>
            </w:r>
          </w:p>
        </w:tc>
      </w:tr>
      <w:tr w14:paraId="1A1989A5">
        <w:tblPrEx>
          <w:tblCellMar>
            <w:top w:w="15" w:type="dxa"/>
            <w:left w:w="15" w:type="dxa"/>
            <w:bottom w:w="15" w:type="dxa"/>
            <w:right w:w="15" w:type="dxa"/>
          </w:tblCellMar>
        </w:tblPrEx>
        <w:trPr>
          <w:tblCellSpacing w:w="15" w:type="dxa"/>
        </w:trPr>
        <w:tc>
          <w:tcPr>
            <w:tcW w:w="0" w:type="auto"/>
            <w:vAlign w:val="center"/>
          </w:tcPr>
          <w:p w14:paraId="326830C4">
            <w:r>
              <w:t>17</w:t>
            </w:r>
          </w:p>
        </w:tc>
        <w:tc>
          <w:tcPr>
            <w:tcW w:w="0" w:type="auto"/>
            <w:vAlign w:val="center"/>
          </w:tcPr>
          <w:p w14:paraId="62239722">
            <w:r>
              <w:t>Open University Malaysia</w:t>
            </w:r>
          </w:p>
        </w:tc>
        <w:tc>
          <w:tcPr>
            <w:tcW w:w="0" w:type="auto"/>
            <w:vAlign w:val="center"/>
          </w:tcPr>
          <w:p w14:paraId="0A69DB95">
            <w:r>
              <w:fldChar w:fldCharType="begin"/>
            </w:r>
            <w:r>
              <w:instrText xml:space="preserve"> HYPERLINK "https://www.oum.edu.my/" \t "_new" </w:instrText>
            </w:r>
            <w:r>
              <w:fldChar w:fldCharType="separate"/>
            </w:r>
            <w:r>
              <w:rPr>
                <w:rStyle w:val="15"/>
              </w:rPr>
              <w:t>https://www.oum.edu.my/</w:t>
            </w:r>
            <w:r>
              <w:rPr>
                <w:rStyle w:val="15"/>
              </w:rPr>
              <w:fldChar w:fldCharType="end"/>
            </w:r>
          </w:p>
        </w:tc>
      </w:tr>
      <w:tr w14:paraId="68FF1567">
        <w:tblPrEx>
          <w:tblCellMar>
            <w:top w:w="15" w:type="dxa"/>
            <w:left w:w="15" w:type="dxa"/>
            <w:bottom w:w="15" w:type="dxa"/>
            <w:right w:w="15" w:type="dxa"/>
          </w:tblCellMar>
        </w:tblPrEx>
        <w:trPr>
          <w:tblCellSpacing w:w="15" w:type="dxa"/>
        </w:trPr>
        <w:tc>
          <w:tcPr>
            <w:tcW w:w="0" w:type="auto"/>
            <w:vAlign w:val="center"/>
          </w:tcPr>
          <w:p w14:paraId="60C2405A">
            <w:r>
              <w:t>18</w:t>
            </w:r>
          </w:p>
        </w:tc>
        <w:tc>
          <w:tcPr>
            <w:tcW w:w="0" w:type="auto"/>
            <w:vAlign w:val="center"/>
          </w:tcPr>
          <w:p w14:paraId="172BAC7E">
            <w:r>
              <w:t>Open University of China</w:t>
            </w:r>
          </w:p>
        </w:tc>
        <w:tc>
          <w:tcPr>
            <w:tcW w:w="0" w:type="auto"/>
            <w:vAlign w:val="center"/>
          </w:tcPr>
          <w:p w14:paraId="0185118E">
            <w:r>
              <w:fldChar w:fldCharType="begin"/>
            </w:r>
            <w:r>
              <w:instrText xml:space="preserve"> HYPERLINK "http://en.ouchn.edu.cn/" \t "_new" </w:instrText>
            </w:r>
            <w:r>
              <w:fldChar w:fldCharType="separate"/>
            </w:r>
            <w:r>
              <w:rPr>
                <w:rStyle w:val="15"/>
              </w:rPr>
              <w:t>http://en.ouchn.edu.cn/</w:t>
            </w:r>
            <w:r>
              <w:rPr>
                <w:rStyle w:val="15"/>
              </w:rPr>
              <w:fldChar w:fldCharType="end"/>
            </w:r>
          </w:p>
        </w:tc>
      </w:tr>
      <w:tr w14:paraId="01664228">
        <w:tblPrEx>
          <w:tblCellMar>
            <w:top w:w="15" w:type="dxa"/>
            <w:left w:w="15" w:type="dxa"/>
            <w:bottom w:w="15" w:type="dxa"/>
            <w:right w:w="15" w:type="dxa"/>
          </w:tblCellMar>
        </w:tblPrEx>
        <w:trPr>
          <w:tblCellSpacing w:w="15" w:type="dxa"/>
        </w:trPr>
        <w:tc>
          <w:tcPr>
            <w:tcW w:w="0" w:type="auto"/>
            <w:vAlign w:val="center"/>
          </w:tcPr>
          <w:p w14:paraId="1CE4FFB1">
            <w:r>
              <w:t>19</w:t>
            </w:r>
          </w:p>
        </w:tc>
        <w:tc>
          <w:tcPr>
            <w:tcW w:w="0" w:type="auto"/>
            <w:vAlign w:val="center"/>
          </w:tcPr>
          <w:p w14:paraId="1831DE21">
            <w:r>
              <w:t>Open University of Japan</w:t>
            </w:r>
          </w:p>
        </w:tc>
        <w:tc>
          <w:tcPr>
            <w:tcW w:w="0" w:type="auto"/>
            <w:vAlign w:val="center"/>
          </w:tcPr>
          <w:p w14:paraId="4C234DA3">
            <w:r>
              <w:fldChar w:fldCharType="begin"/>
            </w:r>
            <w:r>
              <w:instrText xml:space="preserve"> HYPERLINK "https://www.ouj.ac.jp/en/" \t "_new" </w:instrText>
            </w:r>
            <w:r>
              <w:fldChar w:fldCharType="separate"/>
            </w:r>
            <w:r>
              <w:rPr>
                <w:rStyle w:val="15"/>
              </w:rPr>
              <w:t>https://www.ouj.ac.jp/en/</w:t>
            </w:r>
            <w:r>
              <w:rPr>
                <w:rStyle w:val="15"/>
              </w:rPr>
              <w:fldChar w:fldCharType="end"/>
            </w:r>
          </w:p>
        </w:tc>
      </w:tr>
      <w:tr w14:paraId="7CA396AB">
        <w:tblPrEx>
          <w:tblCellMar>
            <w:top w:w="15" w:type="dxa"/>
            <w:left w:w="15" w:type="dxa"/>
            <w:bottom w:w="15" w:type="dxa"/>
            <w:right w:w="15" w:type="dxa"/>
          </w:tblCellMar>
        </w:tblPrEx>
        <w:trPr>
          <w:tblCellSpacing w:w="15" w:type="dxa"/>
        </w:trPr>
        <w:tc>
          <w:tcPr>
            <w:tcW w:w="0" w:type="auto"/>
            <w:vAlign w:val="center"/>
          </w:tcPr>
          <w:p w14:paraId="4B04A723">
            <w:r>
              <w:t>20</w:t>
            </w:r>
          </w:p>
        </w:tc>
        <w:tc>
          <w:tcPr>
            <w:tcW w:w="0" w:type="auto"/>
            <w:vAlign w:val="center"/>
          </w:tcPr>
          <w:p w14:paraId="0C8CC2CF">
            <w:r>
              <w:t>Open University of Sri Lanka</w:t>
            </w:r>
          </w:p>
        </w:tc>
        <w:tc>
          <w:tcPr>
            <w:tcW w:w="0" w:type="auto"/>
            <w:vAlign w:val="center"/>
          </w:tcPr>
          <w:p w14:paraId="0F1A3D05">
            <w:r>
              <w:fldChar w:fldCharType="begin"/>
            </w:r>
            <w:r>
              <w:instrText xml:space="preserve"> HYPERLINK "https://ou.ac.lk/" \t "_new" </w:instrText>
            </w:r>
            <w:r>
              <w:fldChar w:fldCharType="separate"/>
            </w:r>
            <w:r>
              <w:rPr>
                <w:rStyle w:val="15"/>
              </w:rPr>
              <w:t>https://ou.ac.lk/</w:t>
            </w:r>
            <w:r>
              <w:rPr>
                <w:rStyle w:val="15"/>
              </w:rPr>
              <w:fldChar w:fldCharType="end"/>
            </w:r>
          </w:p>
        </w:tc>
      </w:tr>
      <w:tr w14:paraId="69D06624">
        <w:tblPrEx>
          <w:tblCellMar>
            <w:top w:w="15" w:type="dxa"/>
            <w:left w:w="15" w:type="dxa"/>
            <w:bottom w:w="15" w:type="dxa"/>
            <w:right w:w="15" w:type="dxa"/>
          </w:tblCellMar>
        </w:tblPrEx>
        <w:trPr>
          <w:tblCellSpacing w:w="15" w:type="dxa"/>
        </w:trPr>
        <w:tc>
          <w:tcPr>
            <w:tcW w:w="0" w:type="auto"/>
            <w:vAlign w:val="center"/>
          </w:tcPr>
          <w:p w14:paraId="2AD8249E">
            <w:r>
              <w:t>21</w:t>
            </w:r>
          </w:p>
        </w:tc>
        <w:tc>
          <w:tcPr>
            <w:tcW w:w="0" w:type="auto"/>
            <w:vAlign w:val="center"/>
          </w:tcPr>
          <w:p w14:paraId="41019D09">
            <w:r>
              <w:t>Shanghai Open University</w:t>
            </w:r>
          </w:p>
        </w:tc>
        <w:tc>
          <w:tcPr>
            <w:tcW w:w="0" w:type="auto"/>
            <w:vAlign w:val="center"/>
          </w:tcPr>
          <w:p w14:paraId="75F241BA">
            <w:r>
              <w:fldChar w:fldCharType="begin"/>
            </w:r>
            <w:r>
              <w:instrText xml:space="preserve"> HYPERLINK "https://global.sou.edu.cn/" \t "_new" </w:instrText>
            </w:r>
            <w:r>
              <w:fldChar w:fldCharType="separate"/>
            </w:r>
            <w:r>
              <w:rPr>
                <w:rStyle w:val="15"/>
              </w:rPr>
              <w:t>https://global.sou.edu.cn/</w:t>
            </w:r>
            <w:r>
              <w:rPr>
                <w:rStyle w:val="15"/>
              </w:rPr>
              <w:fldChar w:fldCharType="end"/>
            </w:r>
          </w:p>
        </w:tc>
      </w:tr>
      <w:tr w14:paraId="230C151D">
        <w:tblPrEx>
          <w:tblCellMar>
            <w:top w:w="15" w:type="dxa"/>
            <w:left w:w="15" w:type="dxa"/>
            <w:bottom w:w="15" w:type="dxa"/>
            <w:right w:w="15" w:type="dxa"/>
          </w:tblCellMar>
        </w:tblPrEx>
        <w:trPr>
          <w:tblCellSpacing w:w="15" w:type="dxa"/>
        </w:trPr>
        <w:tc>
          <w:tcPr>
            <w:tcW w:w="0" w:type="auto"/>
            <w:vAlign w:val="center"/>
          </w:tcPr>
          <w:p w14:paraId="7AEB70BB">
            <w:r>
              <w:t>22</w:t>
            </w:r>
          </w:p>
        </w:tc>
        <w:tc>
          <w:tcPr>
            <w:tcW w:w="0" w:type="auto"/>
            <w:vAlign w:val="center"/>
          </w:tcPr>
          <w:p w14:paraId="3550A73A">
            <w:r>
              <w:t>Sichuan Open University</w:t>
            </w:r>
          </w:p>
        </w:tc>
        <w:tc>
          <w:tcPr>
            <w:tcW w:w="0" w:type="auto"/>
            <w:vAlign w:val="center"/>
          </w:tcPr>
          <w:p w14:paraId="722C281F">
            <w:r>
              <w:fldChar w:fldCharType="begin"/>
            </w:r>
            <w:r>
              <w:instrText xml:space="preserve"> HYPERLINK "https://scou.cn/" \t "_new" </w:instrText>
            </w:r>
            <w:r>
              <w:fldChar w:fldCharType="separate"/>
            </w:r>
            <w:r>
              <w:rPr>
                <w:rStyle w:val="15"/>
              </w:rPr>
              <w:t>https://scou.cn/</w:t>
            </w:r>
            <w:r>
              <w:rPr>
                <w:rStyle w:val="15"/>
              </w:rPr>
              <w:fldChar w:fldCharType="end"/>
            </w:r>
          </w:p>
        </w:tc>
      </w:tr>
      <w:tr w14:paraId="52578355">
        <w:tblPrEx>
          <w:tblCellMar>
            <w:top w:w="15" w:type="dxa"/>
            <w:left w:w="15" w:type="dxa"/>
            <w:bottom w:w="15" w:type="dxa"/>
            <w:right w:w="15" w:type="dxa"/>
          </w:tblCellMar>
        </w:tblPrEx>
        <w:trPr>
          <w:tblCellSpacing w:w="15" w:type="dxa"/>
        </w:trPr>
        <w:tc>
          <w:tcPr>
            <w:tcW w:w="0" w:type="auto"/>
            <w:vAlign w:val="center"/>
          </w:tcPr>
          <w:p w14:paraId="2192CA16">
            <w:r>
              <w:t>23</w:t>
            </w:r>
          </w:p>
        </w:tc>
        <w:tc>
          <w:tcPr>
            <w:tcW w:w="0" w:type="auto"/>
            <w:vAlign w:val="center"/>
          </w:tcPr>
          <w:p w14:paraId="175F6B96">
            <w:r>
              <w:t>Sukhothai Thammathirat Open University (Thailand)</w:t>
            </w:r>
          </w:p>
        </w:tc>
        <w:tc>
          <w:tcPr>
            <w:tcW w:w="0" w:type="auto"/>
            <w:vAlign w:val="center"/>
          </w:tcPr>
          <w:p w14:paraId="42AF18CF">
            <w:r>
              <w:fldChar w:fldCharType="begin"/>
            </w:r>
            <w:r>
              <w:instrText xml:space="preserve"> HYPERLINK "https://www.stou.ac.th/main/en/" \t "_new" </w:instrText>
            </w:r>
            <w:r>
              <w:fldChar w:fldCharType="separate"/>
            </w:r>
            <w:r>
              <w:rPr>
                <w:rStyle w:val="15"/>
              </w:rPr>
              <w:t>https://www.stou.ac.th/main/en/</w:t>
            </w:r>
            <w:r>
              <w:rPr>
                <w:rStyle w:val="15"/>
              </w:rPr>
              <w:fldChar w:fldCharType="end"/>
            </w:r>
          </w:p>
        </w:tc>
      </w:tr>
      <w:tr w14:paraId="1E9E78D2">
        <w:tblPrEx>
          <w:tblCellMar>
            <w:top w:w="15" w:type="dxa"/>
            <w:left w:w="15" w:type="dxa"/>
            <w:bottom w:w="15" w:type="dxa"/>
            <w:right w:w="15" w:type="dxa"/>
          </w:tblCellMar>
        </w:tblPrEx>
        <w:trPr>
          <w:tblCellSpacing w:w="15" w:type="dxa"/>
        </w:trPr>
        <w:tc>
          <w:tcPr>
            <w:tcW w:w="0" w:type="auto"/>
            <w:vAlign w:val="center"/>
          </w:tcPr>
          <w:p w14:paraId="02562E52">
            <w:r>
              <w:t>24</w:t>
            </w:r>
          </w:p>
        </w:tc>
        <w:tc>
          <w:tcPr>
            <w:tcW w:w="0" w:type="auto"/>
            <w:vAlign w:val="center"/>
          </w:tcPr>
          <w:p w14:paraId="3F3BBC7B">
            <w:r>
              <w:t>Tamil Nadu Open University (India)</w:t>
            </w:r>
          </w:p>
        </w:tc>
        <w:tc>
          <w:tcPr>
            <w:tcW w:w="0" w:type="auto"/>
            <w:vAlign w:val="center"/>
          </w:tcPr>
          <w:p w14:paraId="71BA9978">
            <w:r>
              <w:fldChar w:fldCharType="begin"/>
            </w:r>
            <w:r>
              <w:instrText xml:space="preserve"> HYPERLINK "https://tnou.ac.in/" \t "_new" </w:instrText>
            </w:r>
            <w:r>
              <w:fldChar w:fldCharType="separate"/>
            </w:r>
            <w:r>
              <w:rPr>
                <w:rStyle w:val="15"/>
              </w:rPr>
              <w:t>https://tnou.ac.in/</w:t>
            </w:r>
            <w:r>
              <w:rPr>
                <w:rStyle w:val="15"/>
              </w:rPr>
              <w:fldChar w:fldCharType="end"/>
            </w:r>
          </w:p>
        </w:tc>
      </w:tr>
      <w:tr w14:paraId="45C9B35E">
        <w:tblPrEx>
          <w:tblCellMar>
            <w:top w:w="15" w:type="dxa"/>
            <w:left w:w="15" w:type="dxa"/>
            <w:bottom w:w="15" w:type="dxa"/>
            <w:right w:w="15" w:type="dxa"/>
          </w:tblCellMar>
        </w:tblPrEx>
        <w:trPr>
          <w:tblCellSpacing w:w="15" w:type="dxa"/>
        </w:trPr>
        <w:tc>
          <w:tcPr>
            <w:tcW w:w="0" w:type="auto"/>
            <w:vAlign w:val="center"/>
          </w:tcPr>
          <w:p w14:paraId="408DDD3E">
            <w:r>
              <w:t>25</w:t>
            </w:r>
          </w:p>
        </w:tc>
        <w:tc>
          <w:tcPr>
            <w:tcW w:w="0" w:type="auto"/>
            <w:vAlign w:val="center"/>
          </w:tcPr>
          <w:p w14:paraId="1D6D5BE8">
            <w:r>
              <w:t>Universitas Terbuka (Indonesia)</w:t>
            </w:r>
          </w:p>
        </w:tc>
        <w:tc>
          <w:tcPr>
            <w:tcW w:w="0" w:type="auto"/>
            <w:vAlign w:val="center"/>
          </w:tcPr>
          <w:p w14:paraId="076B9898">
            <w:r>
              <w:fldChar w:fldCharType="begin"/>
            </w:r>
            <w:r>
              <w:instrText xml:space="preserve"> HYPERLINK "https://www.ut.ac.id/en/" \t "_new" </w:instrText>
            </w:r>
            <w:r>
              <w:fldChar w:fldCharType="separate"/>
            </w:r>
            <w:r>
              <w:rPr>
                <w:rStyle w:val="15"/>
              </w:rPr>
              <w:t>https://www.ut.ac.id/en/</w:t>
            </w:r>
            <w:r>
              <w:rPr>
                <w:rStyle w:val="15"/>
              </w:rPr>
              <w:fldChar w:fldCharType="end"/>
            </w:r>
          </w:p>
        </w:tc>
      </w:tr>
      <w:tr w14:paraId="5BCC6256">
        <w:tblPrEx>
          <w:tblCellMar>
            <w:top w:w="15" w:type="dxa"/>
            <w:left w:w="15" w:type="dxa"/>
            <w:bottom w:w="15" w:type="dxa"/>
            <w:right w:w="15" w:type="dxa"/>
          </w:tblCellMar>
        </w:tblPrEx>
        <w:trPr>
          <w:tblCellSpacing w:w="15" w:type="dxa"/>
        </w:trPr>
        <w:tc>
          <w:tcPr>
            <w:tcW w:w="0" w:type="auto"/>
            <w:vAlign w:val="center"/>
          </w:tcPr>
          <w:p w14:paraId="65F3072C">
            <w:r>
              <w:t>26</w:t>
            </w:r>
          </w:p>
        </w:tc>
        <w:tc>
          <w:tcPr>
            <w:tcW w:w="0" w:type="auto"/>
            <w:vAlign w:val="center"/>
          </w:tcPr>
          <w:p w14:paraId="3766FDA6">
            <w:r>
              <w:t>University of the Philippines Open University</w:t>
            </w:r>
          </w:p>
        </w:tc>
        <w:tc>
          <w:tcPr>
            <w:tcW w:w="0" w:type="auto"/>
            <w:vAlign w:val="center"/>
          </w:tcPr>
          <w:p w14:paraId="051D9AE8">
            <w:r>
              <w:fldChar w:fldCharType="begin"/>
            </w:r>
            <w:r>
              <w:instrText xml:space="preserve"> HYPERLINK "https://www.upou.edu.ph/home/" \t "_new" </w:instrText>
            </w:r>
            <w:r>
              <w:fldChar w:fldCharType="separate"/>
            </w:r>
            <w:r>
              <w:rPr>
                <w:rStyle w:val="15"/>
              </w:rPr>
              <w:t>https://www.upou.edu.ph/home/</w:t>
            </w:r>
            <w:r>
              <w:rPr>
                <w:rStyle w:val="15"/>
              </w:rPr>
              <w:fldChar w:fldCharType="end"/>
            </w:r>
          </w:p>
        </w:tc>
      </w:tr>
      <w:tr w14:paraId="09D06A8E">
        <w:tblPrEx>
          <w:tblCellMar>
            <w:top w:w="15" w:type="dxa"/>
            <w:left w:w="15" w:type="dxa"/>
            <w:bottom w:w="15" w:type="dxa"/>
            <w:right w:w="15" w:type="dxa"/>
          </w:tblCellMar>
        </w:tblPrEx>
        <w:trPr>
          <w:tblCellSpacing w:w="15" w:type="dxa"/>
        </w:trPr>
        <w:tc>
          <w:tcPr>
            <w:tcW w:w="0" w:type="auto"/>
            <w:vAlign w:val="center"/>
          </w:tcPr>
          <w:p w14:paraId="4AE575F4">
            <w:r>
              <w:t>27</w:t>
            </w:r>
          </w:p>
        </w:tc>
        <w:tc>
          <w:tcPr>
            <w:tcW w:w="0" w:type="auto"/>
            <w:vAlign w:val="center"/>
          </w:tcPr>
          <w:p w14:paraId="5FEADD04">
            <w:r>
              <w:t>Virtual University of Pakistan</w:t>
            </w:r>
          </w:p>
        </w:tc>
        <w:tc>
          <w:tcPr>
            <w:tcW w:w="0" w:type="auto"/>
            <w:vAlign w:val="center"/>
          </w:tcPr>
          <w:p w14:paraId="502DD851">
            <w:r>
              <w:fldChar w:fldCharType="begin"/>
            </w:r>
            <w:r>
              <w:instrText xml:space="preserve"> HYPERLINK "https://www.vu.edu.pk/" \t "_new" </w:instrText>
            </w:r>
            <w:r>
              <w:fldChar w:fldCharType="separate"/>
            </w:r>
            <w:r>
              <w:rPr>
                <w:rStyle w:val="15"/>
              </w:rPr>
              <w:t>https://www.vu.edu.pk/</w:t>
            </w:r>
            <w:r>
              <w:rPr>
                <w:rStyle w:val="15"/>
              </w:rPr>
              <w:fldChar w:fldCharType="end"/>
            </w:r>
          </w:p>
        </w:tc>
      </w:tr>
      <w:tr w14:paraId="795A1972">
        <w:tblPrEx>
          <w:tblCellMar>
            <w:top w:w="15" w:type="dxa"/>
            <w:left w:w="15" w:type="dxa"/>
            <w:bottom w:w="15" w:type="dxa"/>
            <w:right w:w="15" w:type="dxa"/>
          </w:tblCellMar>
        </w:tblPrEx>
        <w:trPr>
          <w:tblCellSpacing w:w="15" w:type="dxa"/>
        </w:trPr>
        <w:tc>
          <w:tcPr>
            <w:tcW w:w="0" w:type="auto"/>
            <w:vAlign w:val="center"/>
          </w:tcPr>
          <w:p w14:paraId="1B9475DF">
            <w:r>
              <w:t>28</w:t>
            </w:r>
          </w:p>
        </w:tc>
        <w:tc>
          <w:tcPr>
            <w:tcW w:w="0" w:type="auto"/>
            <w:vAlign w:val="center"/>
          </w:tcPr>
          <w:p w14:paraId="297AACE7">
            <w:r>
              <w:t>Wawasan Open University (Malaysia)</w:t>
            </w:r>
          </w:p>
        </w:tc>
        <w:tc>
          <w:tcPr>
            <w:tcW w:w="0" w:type="auto"/>
            <w:vAlign w:val="center"/>
          </w:tcPr>
          <w:p w14:paraId="6247D8EE">
            <w:r>
              <w:fldChar w:fldCharType="begin"/>
            </w:r>
            <w:r>
              <w:instrText xml:space="preserve"> HYPERLINK "https://www.wou.edu.my/" \t "_new" </w:instrText>
            </w:r>
            <w:r>
              <w:fldChar w:fldCharType="separate"/>
            </w:r>
            <w:r>
              <w:rPr>
                <w:rStyle w:val="15"/>
              </w:rPr>
              <w:t>https://www.wou.edu.my/</w:t>
            </w:r>
            <w:r>
              <w:rPr>
                <w:rStyle w:val="15"/>
              </w:rPr>
              <w:fldChar w:fldCharType="end"/>
            </w:r>
          </w:p>
        </w:tc>
      </w:tr>
      <w:tr w14:paraId="501BF0FE">
        <w:tblPrEx>
          <w:tblCellMar>
            <w:top w:w="15" w:type="dxa"/>
            <w:left w:w="15" w:type="dxa"/>
            <w:bottom w:w="15" w:type="dxa"/>
            <w:right w:w="15" w:type="dxa"/>
          </w:tblCellMar>
        </w:tblPrEx>
        <w:trPr>
          <w:tblCellSpacing w:w="15" w:type="dxa"/>
        </w:trPr>
        <w:tc>
          <w:tcPr>
            <w:tcW w:w="0" w:type="auto"/>
            <w:vAlign w:val="center"/>
          </w:tcPr>
          <w:p w14:paraId="108F1557">
            <w:r>
              <w:t>29</w:t>
            </w:r>
          </w:p>
        </w:tc>
        <w:tc>
          <w:tcPr>
            <w:tcW w:w="0" w:type="auto"/>
            <w:vAlign w:val="center"/>
          </w:tcPr>
          <w:p w14:paraId="5C3265DF">
            <w:r>
              <w:t>Yunnan Open University (Tiongkok)</w:t>
            </w:r>
          </w:p>
        </w:tc>
        <w:tc>
          <w:tcPr>
            <w:tcW w:w="0" w:type="auto"/>
            <w:vAlign w:val="center"/>
          </w:tcPr>
          <w:p w14:paraId="147B0FDB">
            <w:r>
              <w:fldChar w:fldCharType="begin"/>
            </w:r>
            <w:r>
              <w:instrText xml:space="preserve"> HYPERLINK "https://www.ynou.edu.cn/" \t "_new" </w:instrText>
            </w:r>
            <w:r>
              <w:fldChar w:fldCharType="separate"/>
            </w:r>
            <w:r>
              <w:rPr>
                <w:rStyle w:val="15"/>
              </w:rPr>
              <w:t>https://www.ynou.edu.cn/</w:t>
            </w:r>
            <w:r>
              <w:rPr>
                <w:rStyle w:val="15"/>
              </w:rPr>
              <w:fldChar w:fldCharType="end"/>
            </w:r>
          </w:p>
        </w:tc>
      </w:tr>
      <w:tr w14:paraId="3686585C">
        <w:tblPrEx>
          <w:tblCellMar>
            <w:top w:w="15" w:type="dxa"/>
            <w:left w:w="15" w:type="dxa"/>
            <w:bottom w:w="15" w:type="dxa"/>
            <w:right w:w="15" w:type="dxa"/>
          </w:tblCellMar>
        </w:tblPrEx>
        <w:trPr>
          <w:tblCellSpacing w:w="15" w:type="dxa"/>
        </w:trPr>
        <w:tc>
          <w:tcPr>
            <w:tcW w:w="0" w:type="auto"/>
            <w:vAlign w:val="center"/>
          </w:tcPr>
          <w:p w14:paraId="5AF90F19">
            <w:r>
              <w:t>30</w:t>
            </w:r>
          </w:p>
        </w:tc>
        <w:tc>
          <w:tcPr>
            <w:tcW w:w="0" w:type="auto"/>
            <w:vAlign w:val="center"/>
          </w:tcPr>
          <w:p w14:paraId="1FC50F38">
            <w:r>
              <w:t>Zhejiang Open University (Tiongkok)</w:t>
            </w:r>
          </w:p>
        </w:tc>
        <w:tc>
          <w:tcPr>
            <w:tcW w:w="0" w:type="auto"/>
            <w:vAlign w:val="center"/>
          </w:tcPr>
          <w:p w14:paraId="65E5A8B7">
            <w:r>
              <w:fldChar w:fldCharType="begin"/>
            </w:r>
            <w:r>
              <w:instrText xml:space="preserve"> HYPERLINK "http://www.zjtvu.edu.cn/info/1469/24128.htm" \t "_new" </w:instrText>
            </w:r>
            <w:r>
              <w:fldChar w:fldCharType="separate"/>
            </w:r>
            <w:r>
              <w:rPr>
                <w:rStyle w:val="15"/>
              </w:rPr>
              <w:t>http://www.zjtvu.edu.cn/info/1469/24128.htm</w:t>
            </w:r>
            <w:r>
              <w:rPr>
                <w:rStyle w:val="15"/>
              </w:rPr>
              <w:fldChar w:fldCharType="end"/>
            </w:r>
          </w:p>
        </w:tc>
      </w:tr>
    </w:tbl>
    <w:p w14:paraId="5AF8A021"/>
    <w:p w14:paraId="0F24029C">
      <w:r>
        <w:t xml:space="preserve">Selain itu, AAOU juga memiliki </w:t>
      </w:r>
      <w:r>
        <w:rPr>
          <w:b/>
          <w:bCs/>
        </w:rPr>
        <w:t>19 anggota asosiasi aktif</w:t>
      </w:r>
      <w:r>
        <w:t xml:space="preserve"> yang tersebar di Asia dan wilayah lainnya.</w:t>
      </w:r>
      <w:r>
        <w:br w:type="textWrapping"/>
      </w:r>
      <w:r>
        <w:t>Kehadiran mereka mencerminkan pengaruh global dan pengakuan internasional terhadap peran AAOU dalam memajukan pendidikan terbuka.</w:t>
      </w:r>
    </w:p>
    <w:p w14:paraId="7384CE5F"/>
    <w:p w14:paraId="48EDF917">
      <w:pPr>
        <w:rPr>
          <w:b/>
          <w:bCs/>
        </w:rPr>
      </w:pPr>
      <w:r>
        <w:rPr>
          <w:b/>
          <w:bCs/>
        </w:rPr>
        <w:t>Kemitraan dan Jaringan Global</w:t>
      </w:r>
    </w:p>
    <w:p w14:paraId="6C79B474">
      <w:r>
        <w:t>AAOU menjalin kemitraan strategis dengan berbagai lembaga internasional, antara lain:</w:t>
      </w:r>
    </w:p>
    <w:p w14:paraId="140CC2D3">
      <w:pPr>
        <w:numPr>
          <w:ilvl w:val="0"/>
          <w:numId w:val="6"/>
        </w:numPr>
      </w:pPr>
      <w:r>
        <w:rPr>
          <w:b/>
          <w:bCs/>
        </w:rPr>
        <w:t>UNESCO</w:t>
      </w:r>
      <w:r>
        <w:t xml:space="preserve"> (United Nations Educational, Scientific and Cultural Organization)</w:t>
      </w:r>
    </w:p>
    <w:p w14:paraId="489AD5B8">
      <w:pPr>
        <w:numPr>
          <w:ilvl w:val="0"/>
          <w:numId w:val="6"/>
        </w:numPr>
      </w:pPr>
      <w:r>
        <w:rPr>
          <w:b/>
          <w:bCs/>
        </w:rPr>
        <w:t>Commonwealth of Learning (COL)</w:t>
      </w:r>
    </w:p>
    <w:p w14:paraId="7705CF1A">
      <w:pPr>
        <w:numPr>
          <w:ilvl w:val="0"/>
          <w:numId w:val="6"/>
        </w:numPr>
      </w:pPr>
      <w:r>
        <w:rPr>
          <w:b/>
          <w:bCs/>
        </w:rPr>
        <w:t>SEAMEO</w:t>
      </w:r>
      <w:r>
        <w:t xml:space="preserve"> (Southeast Asian Ministers of Education Organization)</w:t>
      </w:r>
    </w:p>
    <w:p w14:paraId="34E721CA">
      <w:pPr>
        <w:numPr>
          <w:ilvl w:val="0"/>
          <w:numId w:val="6"/>
        </w:numPr>
      </w:pPr>
      <w:r>
        <w:rPr>
          <w:b/>
          <w:bCs/>
        </w:rPr>
        <w:t>ICDE</w:t>
      </w:r>
      <w:r>
        <w:t xml:space="preserve"> (International Council for Open and Distance Education)</w:t>
      </w:r>
    </w:p>
    <w:p w14:paraId="22081A47">
      <w:r>
        <w:t>Melalui jaringan ini, AAOU berperan aktif dalam mendorong kolaborasi lintas negara, riset bersama, dan penyelarasan standar pendidikan terbuka.</w:t>
      </w:r>
    </w:p>
    <w:p w14:paraId="2BE4CBBE"/>
    <w:p w14:paraId="03690979">
      <w:pPr>
        <w:rPr>
          <w:b/>
          <w:bCs/>
        </w:rPr>
      </w:pPr>
      <w:r>
        <w:rPr>
          <w:b/>
          <w:bCs/>
        </w:rPr>
        <w:t>Kepemimpinan dan Sekretariat Jenderal AAOU (1987–2025)</w:t>
      </w:r>
    </w:p>
    <w:tbl>
      <w:tblPr>
        <w:tblStyle w:val="13"/>
        <w:tblW w:w="0" w:type="auto"/>
        <w:tblCellSpacing w:w="15" w:type="dxa"/>
        <w:tblInd w:w="0" w:type="dxa"/>
        <w:tblLayout w:type="autofit"/>
        <w:tblCellMar>
          <w:top w:w="15" w:type="dxa"/>
          <w:left w:w="15" w:type="dxa"/>
          <w:bottom w:w="15" w:type="dxa"/>
          <w:right w:w="15" w:type="dxa"/>
        </w:tblCellMar>
      </w:tblPr>
      <w:tblGrid>
        <w:gridCol w:w="1671"/>
        <w:gridCol w:w="4547"/>
        <w:gridCol w:w="2512"/>
      </w:tblGrid>
      <w:tr w14:paraId="2B1075BE">
        <w:tblPrEx>
          <w:tblCellMar>
            <w:top w:w="15" w:type="dxa"/>
            <w:left w:w="15" w:type="dxa"/>
            <w:bottom w:w="15" w:type="dxa"/>
            <w:right w:w="15" w:type="dxa"/>
          </w:tblCellMar>
        </w:tblPrEx>
        <w:trPr>
          <w:tblHeader/>
          <w:tblCellSpacing w:w="15" w:type="dxa"/>
        </w:trPr>
        <w:tc>
          <w:tcPr>
            <w:tcW w:w="0" w:type="auto"/>
            <w:vAlign w:val="center"/>
          </w:tcPr>
          <w:p w14:paraId="6F9D2B70">
            <w:pPr>
              <w:rPr>
                <w:b/>
                <w:bCs/>
              </w:rPr>
            </w:pPr>
            <w:r>
              <w:rPr>
                <w:b/>
                <w:bCs/>
              </w:rPr>
              <w:t>Periode</w:t>
            </w:r>
          </w:p>
        </w:tc>
        <w:tc>
          <w:tcPr>
            <w:tcW w:w="0" w:type="auto"/>
            <w:vAlign w:val="center"/>
          </w:tcPr>
          <w:p w14:paraId="7B9868A3">
            <w:pPr>
              <w:rPr>
                <w:b/>
                <w:bCs/>
              </w:rPr>
            </w:pPr>
            <w:r>
              <w:rPr>
                <w:b/>
                <w:bCs/>
              </w:rPr>
              <w:t>Ketua</w:t>
            </w:r>
          </w:p>
        </w:tc>
        <w:tc>
          <w:tcPr>
            <w:tcW w:w="0" w:type="auto"/>
            <w:vAlign w:val="center"/>
          </w:tcPr>
          <w:p w14:paraId="20F32649">
            <w:pPr>
              <w:rPr>
                <w:b/>
                <w:bCs/>
              </w:rPr>
            </w:pPr>
            <w:r>
              <w:rPr>
                <w:b/>
                <w:bCs/>
              </w:rPr>
              <w:t>Sekretaris Jenderal</w:t>
            </w:r>
          </w:p>
        </w:tc>
      </w:tr>
      <w:tr w14:paraId="59690954">
        <w:tblPrEx>
          <w:tblCellMar>
            <w:top w:w="15" w:type="dxa"/>
            <w:left w:w="15" w:type="dxa"/>
            <w:bottom w:w="15" w:type="dxa"/>
            <w:right w:w="15" w:type="dxa"/>
          </w:tblCellMar>
        </w:tblPrEx>
        <w:trPr>
          <w:tblCellSpacing w:w="15" w:type="dxa"/>
        </w:trPr>
        <w:tc>
          <w:tcPr>
            <w:tcW w:w="0" w:type="auto"/>
            <w:vAlign w:val="center"/>
          </w:tcPr>
          <w:p w14:paraId="3181CED8">
            <w:r>
              <w:t>1987</w:t>
            </w:r>
          </w:p>
        </w:tc>
        <w:tc>
          <w:tcPr>
            <w:tcW w:w="0" w:type="auto"/>
            <w:vAlign w:val="center"/>
          </w:tcPr>
          <w:p w14:paraId="5BE8FF9F">
            <w:r>
              <w:t>Dr. Wichit Srisa-an (STOU, Thailand)</w:t>
            </w:r>
          </w:p>
        </w:tc>
        <w:tc>
          <w:tcPr>
            <w:tcW w:w="0" w:type="auto"/>
            <w:vAlign w:val="center"/>
          </w:tcPr>
          <w:p w14:paraId="14A357B9">
            <w:r>
              <w:t>Dr. G. Ram Reddy (IGNOU, India)</w:t>
            </w:r>
          </w:p>
        </w:tc>
      </w:tr>
      <w:tr w14:paraId="285D7FB0">
        <w:tblPrEx>
          <w:tblCellMar>
            <w:top w:w="15" w:type="dxa"/>
            <w:left w:w="15" w:type="dxa"/>
            <w:bottom w:w="15" w:type="dxa"/>
            <w:right w:w="15" w:type="dxa"/>
          </w:tblCellMar>
        </w:tblPrEx>
        <w:trPr>
          <w:tblCellSpacing w:w="15" w:type="dxa"/>
        </w:trPr>
        <w:tc>
          <w:tcPr>
            <w:tcW w:w="0" w:type="auto"/>
            <w:vAlign w:val="center"/>
          </w:tcPr>
          <w:p w14:paraId="2D97D367">
            <w:r>
              <w:t>1999–2001</w:t>
            </w:r>
          </w:p>
        </w:tc>
        <w:tc>
          <w:tcPr>
            <w:tcW w:w="0" w:type="auto"/>
            <w:vAlign w:val="center"/>
          </w:tcPr>
          <w:p w14:paraId="3495E1DF">
            <w:r>
              <w:t>Prof. Tam Sheung-Wai (OUHK, Hong Kong)</w:t>
            </w:r>
          </w:p>
        </w:tc>
        <w:tc>
          <w:tcPr>
            <w:tcW w:w="0" w:type="auto"/>
            <w:vAlign w:val="center"/>
          </w:tcPr>
          <w:p w14:paraId="7506FE7A">
            <w:r>
              <w:t>Prof. Wong Tat-Meng (OUHK)</w:t>
            </w:r>
          </w:p>
        </w:tc>
      </w:tr>
      <w:tr w14:paraId="3FB3513D">
        <w:tblPrEx>
          <w:tblCellMar>
            <w:top w:w="15" w:type="dxa"/>
            <w:left w:w="15" w:type="dxa"/>
            <w:bottom w:w="15" w:type="dxa"/>
            <w:right w:w="15" w:type="dxa"/>
          </w:tblCellMar>
        </w:tblPrEx>
        <w:trPr>
          <w:tblCellSpacing w:w="15" w:type="dxa"/>
        </w:trPr>
        <w:tc>
          <w:tcPr>
            <w:tcW w:w="0" w:type="auto"/>
            <w:vAlign w:val="center"/>
          </w:tcPr>
          <w:p w14:paraId="25F85609">
            <w:r>
              <w:t>2002–2004</w:t>
            </w:r>
          </w:p>
        </w:tc>
        <w:tc>
          <w:tcPr>
            <w:tcW w:w="0" w:type="auto"/>
            <w:vAlign w:val="center"/>
          </w:tcPr>
          <w:p w14:paraId="43095B9B">
            <w:r>
              <w:t>Prof. Cho Kyoo-Hyang (KNOU, Korea Selatan)</w:t>
            </w:r>
          </w:p>
        </w:tc>
        <w:tc>
          <w:tcPr>
            <w:tcW w:w="0" w:type="auto"/>
            <w:vAlign w:val="center"/>
          </w:tcPr>
          <w:p w14:paraId="590C15F6">
            <w:r>
              <w:t>Prof. Hong Soon-Jeong (KNOU)</w:t>
            </w:r>
          </w:p>
        </w:tc>
      </w:tr>
      <w:tr w14:paraId="7AEE67A6">
        <w:tblPrEx>
          <w:tblCellMar>
            <w:top w:w="15" w:type="dxa"/>
            <w:left w:w="15" w:type="dxa"/>
            <w:bottom w:w="15" w:type="dxa"/>
            <w:right w:w="15" w:type="dxa"/>
          </w:tblCellMar>
        </w:tblPrEx>
        <w:trPr>
          <w:tblCellSpacing w:w="15" w:type="dxa"/>
        </w:trPr>
        <w:tc>
          <w:tcPr>
            <w:tcW w:w="0" w:type="auto"/>
            <w:vAlign w:val="center"/>
          </w:tcPr>
          <w:p w14:paraId="5D4066F4">
            <w:r>
              <w:t>2005–2007</w:t>
            </w:r>
          </w:p>
        </w:tc>
        <w:tc>
          <w:tcPr>
            <w:tcW w:w="0" w:type="auto"/>
            <w:vAlign w:val="center"/>
          </w:tcPr>
          <w:p w14:paraId="0ABA77A9">
            <w:r>
              <w:t>Prof. Zhang Yao-Xue (OUC, China)</w:t>
            </w:r>
          </w:p>
        </w:tc>
        <w:tc>
          <w:tcPr>
            <w:tcW w:w="0" w:type="auto"/>
            <w:vAlign w:val="center"/>
          </w:tcPr>
          <w:p w14:paraId="2E8D39C8">
            <w:r>
              <w:t>Li Ya-Wan (OUC)</w:t>
            </w:r>
          </w:p>
        </w:tc>
      </w:tr>
      <w:tr w14:paraId="7A35E472">
        <w:tblPrEx>
          <w:tblCellMar>
            <w:top w:w="15" w:type="dxa"/>
            <w:left w:w="15" w:type="dxa"/>
            <w:bottom w:w="15" w:type="dxa"/>
            <w:right w:w="15" w:type="dxa"/>
          </w:tblCellMar>
        </w:tblPrEx>
        <w:trPr>
          <w:tblCellSpacing w:w="15" w:type="dxa"/>
        </w:trPr>
        <w:tc>
          <w:tcPr>
            <w:tcW w:w="0" w:type="auto"/>
            <w:vAlign w:val="center"/>
          </w:tcPr>
          <w:p w14:paraId="270B3BC6">
            <w:r>
              <w:t>2008–2010</w:t>
            </w:r>
          </w:p>
        </w:tc>
        <w:tc>
          <w:tcPr>
            <w:tcW w:w="0" w:type="auto"/>
            <w:vAlign w:val="center"/>
          </w:tcPr>
          <w:p w14:paraId="7500E721">
            <w:r>
              <w:t>Prof. Atwi Suparman / Prof. Tian Belawati (UT, Indonesia)</w:t>
            </w:r>
          </w:p>
        </w:tc>
        <w:tc>
          <w:tcPr>
            <w:tcW w:w="0" w:type="auto"/>
            <w:vAlign w:val="center"/>
          </w:tcPr>
          <w:p w14:paraId="3EAFD2C7">
            <w:r>
              <w:t>Prof. Maximus Gorky Sembiring (UT)</w:t>
            </w:r>
          </w:p>
        </w:tc>
      </w:tr>
      <w:tr w14:paraId="61F0429E">
        <w:tblPrEx>
          <w:tblCellMar>
            <w:top w:w="15" w:type="dxa"/>
            <w:left w:w="15" w:type="dxa"/>
            <w:bottom w:w="15" w:type="dxa"/>
            <w:right w:w="15" w:type="dxa"/>
          </w:tblCellMar>
        </w:tblPrEx>
        <w:trPr>
          <w:tblCellSpacing w:w="15" w:type="dxa"/>
        </w:trPr>
        <w:tc>
          <w:tcPr>
            <w:tcW w:w="0" w:type="auto"/>
            <w:vAlign w:val="center"/>
          </w:tcPr>
          <w:p w14:paraId="0089E68C">
            <w:r>
              <w:t>2014–2016</w:t>
            </w:r>
          </w:p>
        </w:tc>
        <w:tc>
          <w:tcPr>
            <w:tcW w:w="0" w:type="auto"/>
            <w:vAlign w:val="center"/>
          </w:tcPr>
          <w:p w14:paraId="455E4986">
            <w:r>
              <w:t>Prof. Wong Yuk-Shan (HKMU, Hong Kong)</w:t>
            </w:r>
          </w:p>
        </w:tc>
        <w:tc>
          <w:tcPr>
            <w:tcW w:w="0" w:type="auto"/>
            <w:vAlign w:val="center"/>
          </w:tcPr>
          <w:p w14:paraId="4D376A27">
            <w:r>
              <w:t>Prof. Li Kam-Cheong (HKMU)</w:t>
            </w:r>
          </w:p>
        </w:tc>
      </w:tr>
      <w:tr w14:paraId="781F9F48">
        <w:tblPrEx>
          <w:tblCellMar>
            <w:top w:w="15" w:type="dxa"/>
            <w:left w:w="15" w:type="dxa"/>
            <w:bottom w:w="15" w:type="dxa"/>
            <w:right w:w="15" w:type="dxa"/>
          </w:tblCellMar>
        </w:tblPrEx>
        <w:trPr>
          <w:tblCellSpacing w:w="15" w:type="dxa"/>
        </w:trPr>
        <w:tc>
          <w:tcPr>
            <w:tcW w:w="0" w:type="auto"/>
            <w:vAlign w:val="center"/>
          </w:tcPr>
          <w:p w14:paraId="5938892E">
            <w:r>
              <w:t>2020–2022</w:t>
            </w:r>
          </w:p>
        </w:tc>
        <w:tc>
          <w:tcPr>
            <w:tcW w:w="0" w:type="auto"/>
            <w:vAlign w:val="center"/>
          </w:tcPr>
          <w:p w14:paraId="68F3851F">
            <w:r>
              <w:t>Prof. Ojat Darojat (UT, Indonesia)</w:t>
            </w:r>
          </w:p>
        </w:tc>
        <w:tc>
          <w:tcPr>
            <w:tcW w:w="0" w:type="auto"/>
            <w:vAlign w:val="center"/>
          </w:tcPr>
          <w:p w14:paraId="6146E72D">
            <w:r>
              <w:t>Prof. Rahmat Budiman</w:t>
            </w:r>
          </w:p>
        </w:tc>
      </w:tr>
      <w:tr w14:paraId="01BB7E06">
        <w:tblPrEx>
          <w:tblCellMar>
            <w:top w:w="15" w:type="dxa"/>
            <w:left w:w="15" w:type="dxa"/>
            <w:bottom w:w="15" w:type="dxa"/>
            <w:right w:w="15" w:type="dxa"/>
          </w:tblCellMar>
        </w:tblPrEx>
        <w:trPr>
          <w:tblCellSpacing w:w="15" w:type="dxa"/>
        </w:trPr>
        <w:tc>
          <w:tcPr>
            <w:tcW w:w="0" w:type="auto"/>
            <w:vAlign w:val="center"/>
          </w:tcPr>
          <w:p w14:paraId="702E899C">
            <w:r>
              <w:t>2023–2025</w:t>
            </w:r>
          </w:p>
        </w:tc>
        <w:tc>
          <w:tcPr>
            <w:tcW w:w="0" w:type="auto"/>
            <w:vAlign w:val="center"/>
          </w:tcPr>
          <w:p w14:paraId="44621AA3">
            <w:r>
              <w:t>Prof. Ojat Darojat / Dr. Mohamad Yunus / Prof. Ali Muktiyanto (UT, Indonesia)</w:t>
            </w:r>
          </w:p>
        </w:tc>
        <w:tc>
          <w:tcPr>
            <w:tcW w:w="0" w:type="auto"/>
            <w:vAlign w:val="center"/>
          </w:tcPr>
          <w:p w14:paraId="02A4A786">
            <w:r>
              <w:t>Prof. Rahmat Budiman</w:t>
            </w:r>
          </w:p>
        </w:tc>
      </w:tr>
    </w:tbl>
    <w:p w14:paraId="10DE6475">
      <w:r>
        <w:pict>
          <v:rect id="_x0000_i1027" o:spt="1" style="height:1.5pt;width:0pt;" fillcolor="#A0A0A0" filled="t" stroked="f" coordsize="21600,21600" o:hr="t" o:hrstd="t" o:hralign="center">
            <v:path/>
            <v:fill on="t" focussize="0,0"/>
            <v:stroke on="f"/>
            <v:imagedata o:title=""/>
            <o:lock v:ext="edit"/>
            <w10:wrap type="none"/>
            <w10:anchorlock/>
          </v:rect>
        </w:pict>
      </w:r>
    </w:p>
    <w:p w14:paraId="3EC0906D">
      <w:pPr>
        <w:rPr>
          <w:b/>
          <w:bCs/>
        </w:rPr>
      </w:pPr>
      <w:r>
        <w:rPr>
          <w:b/>
          <w:bCs/>
        </w:rPr>
        <w:t>Tujuan dan Harapan Penulisan Buku</w:t>
      </w:r>
    </w:p>
    <w:p w14:paraId="7C717317">
      <w:r>
        <w:t>Buku ini disusun untuk:</w:t>
      </w:r>
      <w:r>
        <w:br w:type="textWrapping"/>
      </w:r>
      <w:r>
        <w:t>1️</w:t>
      </w:r>
      <w:r>
        <w:rPr>
          <w:rFonts w:ascii="Segoe UI Symbol" w:hAnsi="Segoe UI Symbol" w:cs="Segoe UI Symbol"/>
        </w:rPr>
        <w:t>⃣</w:t>
      </w:r>
      <w:r>
        <w:t xml:space="preserve"> </w:t>
      </w:r>
      <w:r>
        <w:rPr>
          <w:b/>
          <w:bCs/>
        </w:rPr>
        <w:t>Mendokumentasikan sejarah AAOU secara sistematis</w:t>
      </w:r>
      <w:r>
        <w:t xml:space="preserve"> – mencatat tonggak penting dan dinamika organisasi sejak pendiriannya.</w:t>
      </w:r>
      <w:r>
        <w:br w:type="textWrapping"/>
      </w:r>
      <w:r>
        <w:t>2️</w:t>
      </w:r>
      <w:r>
        <w:rPr>
          <w:rFonts w:ascii="Segoe UI Symbol" w:hAnsi="Segoe UI Symbol" w:cs="Segoe UI Symbol"/>
        </w:rPr>
        <w:t>⃣</w:t>
      </w:r>
      <w:r>
        <w:t xml:space="preserve"> </w:t>
      </w:r>
      <w:r>
        <w:rPr>
          <w:b/>
          <w:bCs/>
        </w:rPr>
        <w:t>Menunjukkan kekuatan kolektif</w:t>
      </w:r>
      <w:r>
        <w:t xml:space="preserve"> – menggambarkan kolaborasi lintas negara antara para pendidik, pengelola, dan pembuat kebijakan.</w:t>
      </w:r>
      <w:r>
        <w:br w:type="textWrapping"/>
      </w:r>
      <w:r>
        <w:t>3️</w:t>
      </w:r>
      <w:r>
        <w:rPr>
          <w:rFonts w:ascii="Segoe UI Symbol" w:hAnsi="Segoe UI Symbol" w:cs="Segoe UI Symbol"/>
        </w:rPr>
        <w:t>⃣</w:t>
      </w:r>
      <w:r>
        <w:t xml:space="preserve"> </w:t>
      </w:r>
      <w:r>
        <w:rPr>
          <w:b/>
          <w:bCs/>
        </w:rPr>
        <w:t>Menginspirasi generasi berikutnya</w:t>
      </w:r>
      <w:r>
        <w:t xml:space="preserve"> – mendorong inovasi dan pemikiran baru dalam pendidikan terbuka.</w:t>
      </w:r>
      <w:r>
        <w:br w:type="textWrapping"/>
      </w:r>
      <w:r>
        <w:t>4️</w:t>
      </w:r>
      <w:r>
        <w:rPr>
          <w:rFonts w:ascii="Segoe UI Symbol" w:hAnsi="Segoe UI Symbol" w:cs="Segoe UI Symbol"/>
        </w:rPr>
        <w:t>⃣</w:t>
      </w:r>
      <w:r>
        <w:t xml:space="preserve"> </w:t>
      </w:r>
      <w:r>
        <w:rPr>
          <w:b/>
          <w:bCs/>
        </w:rPr>
        <w:t>Menyediakan sumber rujukan akademik</w:t>
      </w:r>
      <w:r>
        <w:t xml:space="preserve"> – menjadi referensi bagi peneliti, praktisi, dan lembaga pendidikan tinggi di seluruh Asia.</w:t>
      </w:r>
    </w:p>
    <w:p w14:paraId="27592AA6">
      <w:r>
        <w:pict>
          <v:rect id="_x0000_i1028" o:spt="1" style="height:1.5pt;width:0pt;" fillcolor="#A0A0A0" filled="t" stroked="f" coordsize="21600,21600" o:hr="t" o:hrstd="t" o:hralign="center">
            <v:path/>
            <v:fill on="t" focussize="0,0"/>
            <v:stroke on="f"/>
            <v:imagedata o:title=""/>
            <o:lock v:ext="edit"/>
            <w10:wrap type="none"/>
            <w10:anchorlock/>
          </v:rect>
        </w:pict>
      </w:r>
    </w:p>
    <w:p w14:paraId="22C5EE5C">
      <w:pPr>
        <w:rPr>
          <w:b/>
          <w:bCs/>
        </w:rPr>
      </w:pPr>
      <w:r>
        <w:rPr>
          <w:b/>
          <w:bCs/>
        </w:rPr>
        <w:t>Ucapan Terima Kasih</w:t>
      </w:r>
    </w:p>
    <w:p w14:paraId="1E5600E9">
      <w:r>
        <w:t>Penyusunan buku ini tidak akan terwujud tanpa kontribusi banyak pihak — khususnya para peneliti dari universitas anggota pendiri AAOU, termasuk:</w:t>
      </w:r>
    </w:p>
    <w:p w14:paraId="646DBB0A">
      <w:pPr>
        <w:numPr>
          <w:ilvl w:val="0"/>
          <w:numId w:val="7"/>
        </w:numPr>
      </w:pPr>
      <w:r>
        <w:t>Allama Iqbal Open University (Pakistan)</w:t>
      </w:r>
    </w:p>
    <w:p w14:paraId="60AD6B03">
      <w:pPr>
        <w:numPr>
          <w:ilvl w:val="0"/>
          <w:numId w:val="7"/>
        </w:numPr>
      </w:pPr>
      <w:r>
        <w:t>Korea National Open University (Korea Selatan)</w:t>
      </w:r>
    </w:p>
    <w:p w14:paraId="77EF4002">
      <w:pPr>
        <w:numPr>
          <w:ilvl w:val="0"/>
          <w:numId w:val="7"/>
        </w:numPr>
      </w:pPr>
      <w:r>
        <w:t>Open University of Japan</w:t>
      </w:r>
    </w:p>
    <w:p w14:paraId="3077787A">
      <w:pPr>
        <w:numPr>
          <w:ilvl w:val="0"/>
          <w:numId w:val="7"/>
        </w:numPr>
      </w:pPr>
      <w:r>
        <w:t>Open University of Sri Lanka</w:t>
      </w:r>
    </w:p>
    <w:p w14:paraId="72559B96">
      <w:pPr>
        <w:numPr>
          <w:ilvl w:val="0"/>
          <w:numId w:val="7"/>
        </w:numPr>
      </w:pPr>
      <w:r>
        <w:t>Sukhothai Thammathirat Open University (Thailand)</w:t>
      </w:r>
    </w:p>
    <w:p w14:paraId="593EBD55">
      <w:pPr>
        <w:numPr>
          <w:ilvl w:val="0"/>
          <w:numId w:val="7"/>
        </w:numPr>
      </w:pPr>
      <w:r>
        <w:t>Universitas Terbuka (Indonesia)</w:t>
      </w:r>
    </w:p>
    <w:p w14:paraId="56F238D3">
      <w:r>
        <w:t>Kami juga menyampaikan apresiasi mendalam kepada tim editorial yang telah bekerja dengan ketelitian akademik dan semangat kolaboratif.</w:t>
      </w:r>
    </w:p>
    <w:p w14:paraId="257AD36A">
      <w:r>
        <w:t>“Sejarah AAOU bukan sekadar catatan masa lalu — ia adalah sumber inspirasi untuk melangkah maju menuju masa depan pendidikan yang terbuka bagi semua.”</w:t>
      </w:r>
    </w:p>
    <w:p w14:paraId="25F59706">
      <w:pPr>
        <w:rPr>
          <w:b/>
          <w:bCs/>
        </w:rPr>
      </w:pPr>
      <w:r>
        <w:rPr>
          <w:b/>
          <w:bCs/>
        </w:rPr>
        <w:t>BAB 2 — Pendirian dan Perkembangan Awal AAOU</w:t>
      </w:r>
    </w:p>
    <w:p w14:paraId="59AF7807">
      <w:r>
        <w:t>Penulis: Sila Ninin Wisnantiasri, Maya Puspitasari, &amp; Tian Belawati</w:t>
      </w:r>
    </w:p>
    <w:p w14:paraId="3B9C7CE2"/>
    <w:p w14:paraId="7D6FC9DB">
      <w:pPr>
        <w:rPr>
          <w:b/>
          <w:bCs/>
        </w:rPr>
      </w:pPr>
      <w:r>
        <w:rPr>
          <w:b/>
          <w:bCs/>
        </w:rPr>
        <w:t>1. Latar Belakang dan Tujuan Pembentukan</w:t>
      </w:r>
    </w:p>
    <w:p w14:paraId="449FDC02">
      <w:r>
        <w:t>Asosiasi Universitas Terbuka Asia (Asian Association of Open Universities – AAOU) merupakan organisasi non-profit yang beranggotakan lembaga-lembaga pendidikan tinggi terbuka dan jarak jauh di kawasan Asia.</w:t>
      </w:r>
      <w:r>
        <w:br w:type="textWrapping"/>
      </w:r>
      <w:r>
        <w:t>Tujuan utama didirikannya AAOU adalah:</w:t>
      </w:r>
    </w:p>
    <w:p w14:paraId="43C7FF89">
      <w:pPr>
        <w:numPr>
          <w:ilvl w:val="0"/>
          <w:numId w:val="8"/>
        </w:numPr>
      </w:pPr>
      <w:r>
        <w:rPr>
          <w:b/>
          <w:bCs/>
        </w:rPr>
        <w:t>Memperluas kesempatan pendidikan tinggi bagi semua kalangan;</w:t>
      </w:r>
    </w:p>
    <w:p w14:paraId="6AA2F732">
      <w:pPr>
        <w:numPr>
          <w:ilvl w:val="0"/>
          <w:numId w:val="8"/>
        </w:numPr>
      </w:pPr>
      <w:r>
        <w:rPr>
          <w:b/>
          <w:bCs/>
        </w:rPr>
        <w:t>Meningkatkan kualitas dan efektivitas sistem pendidikan terbuka dan jarak jauh (ODE);</w:t>
      </w:r>
    </w:p>
    <w:p w14:paraId="08F21D7F">
      <w:pPr>
        <w:numPr>
          <w:ilvl w:val="0"/>
          <w:numId w:val="8"/>
        </w:numPr>
      </w:pPr>
      <w:r>
        <w:rPr>
          <w:b/>
          <w:bCs/>
        </w:rPr>
        <w:t>Menjalin kerja sama antar universitas untuk pengembangan kurikulum, riset, dan pelatihan;</w:t>
      </w:r>
    </w:p>
    <w:p w14:paraId="4B624CEE">
      <w:pPr>
        <w:numPr>
          <w:ilvl w:val="0"/>
          <w:numId w:val="8"/>
        </w:numPr>
      </w:pPr>
      <w:r>
        <w:rPr>
          <w:b/>
          <w:bCs/>
        </w:rPr>
        <w:t>Mempromosikan pertukaran informasi, materi pembelajaran, dan inovasi pendidikan antarnegara.</w:t>
      </w:r>
    </w:p>
    <w:p w14:paraId="152E1E5B">
      <w:r>
        <w:t>AAOU berkomitmen untuk menjaga standar profesionalisme dan etika dalam pendidikan terbuka, serta memperkuat kemitraan dengan lembaga pemerintah, organisasi internasional, dan komunitas akademik global.</w:t>
      </w:r>
    </w:p>
    <w:p w14:paraId="254F3F02">
      <w:r>
        <w:t>“AAOU akan menjadi model kerja sama internasional di bidang pendidikan tinggi terbuka. Melalui kolaborasi dan pertukaran pengetahuan, kita dapat memperluas akses pendidikan bagi semua masyarakat Asia.”</w:t>
      </w:r>
      <w:r>
        <w:br w:type="textWrapping"/>
      </w:r>
      <w:r>
        <w:t>— Dr. Wichit Srisa-an, Menteri Urusan Universitas Thailand &amp; Rektor STOU, 13 November 1987</w:t>
      </w:r>
    </w:p>
    <w:p w14:paraId="6C31012C"/>
    <w:p w14:paraId="2F06DFD5">
      <w:pPr>
        <w:rPr>
          <w:b/>
          <w:bCs/>
        </w:rPr>
      </w:pPr>
      <w:r>
        <w:rPr>
          <w:b/>
          <w:bCs/>
        </w:rPr>
        <w:t>2. Awal Mula Gagasan AAOU</w:t>
      </w:r>
    </w:p>
    <w:p w14:paraId="35C5C91E">
      <w:r>
        <w:t xml:space="preserve">Gagasan pembentukan organisasi universitas terbuka Asia pertama kali dicetuskan oleh </w:t>
      </w:r>
      <w:r>
        <w:rPr>
          <w:b/>
          <w:bCs/>
        </w:rPr>
        <w:t>Allama Iqbal Open University (AIOU)</w:t>
      </w:r>
      <w:r>
        <w:t>, Pakistan, pada tahun 1985.</w:t>
      </w:r>
      <w:r>
        <w:br w:type="textWrapping"/>
      </w:r>
      <w:r>
        <w:t xml:space="preserve">Saat itu, AIOU mengusulkan pembentukan </w:t>
      </w:r>
      <w:r>
        <w:rPr>
          <w:b/>
          <w:bCs/>
        </w:rPr>
        <w:t>“Dewan Pendidikan Jarak Jauh Asia” (Distance Education Council of Asia – DECASTA)</w:t>
      </w:r>
      <w:r>
        <w:t>.</w:t>
      </w:r>
      <w:r>
        <w:br w:type="textWrapping"/>
      </w:r>
      <w:r>
        <w:t>Walaupun ide tersebut belum berhasil diwujudkan, inisiatif tersebut menjadi dasar bagi berdirinya AAOU dua tahun kemudian.</w:t>
      </w:r>
    </w:p>
    <w:p w14:paraId="7FC15C76">
      <w:r>
        <w:t xml:space="preserve">Pada masa itu, memang telah ada beberapa organisasi internasional seperti </w:t>
      </w:r>
      <w:r>
        <w:rPr>
          <w:b/>
          <w:bCs/>
        </w:rPr>
        <w:t>International Council for Open and Distance Education (ICDE)</w:t>
      </w:r>
      <w:r>
        <w:t xml:space="preserve"> dan </w:t>
      </w:r>
      <w:r>
        <w:rPr>
          <w:b/>
          <w:bCs/>
        </w:rPr>
        <w:t>International University Without Walls Council (UWWIC)</w:t>
      </w:r>
      <w:r>
        <w:t>,</w:t>
      </w:r>
      <w:r>
        <w:br w:type="textWrapping"/>
      </w:r>
      <w:r>
        <w:t>namun cakupannya sangat luas dan belum fokus pada kebutuhan serta konteks Asia.</w:t>
      </w:r>
    </w:p>
    <w:p w14:paraId="38050F88"/>
    <w:p w14:paraId="3531A734">
      <w:pPr>
        <w:rPr>
          <w:b/>
          <w:bCs/>
        </w:rPr>
      </w:pPr>
      <w:r>
        <w:rPr>
          <w:b/>
          <w:bCs/>
        </w:rPr>
        <w:t>3. Seminar Regional Pendidikan Jarak Jauh 1986</w:t>
      </w:r>
    </w:p>
    <w:p w14:paraId="4CE844B7">
      <w:r>
        <w:t xml:space="preserve">Momentum lahirnya AAOU terjadi pada </w:t>
      </w:r>
      <w:r>
        <w:rPr>
          <w:b/>
          <w:bCs/>
        </w:rPr>
        <w:t>Seminar Regional Pendidikan Jarak Jauh Asia (Regional Seminar on Distance Education)</w:t>
      </w:r>
      <w:r>
        <w:t xml:space="preserve"> tahun 1986,</w:t>
      </w:r>
      <w:r>
        <w:br w:type="textWrapping"/>
      </w:r>
      <w:r>
        <w:t xml:space="preserve">yang diselenggarakan oleh </w:t>
      </w:r>
      <w:r>
        <w:rPr>
          <w:b/>
          <w:bCs/>
        </w:rPr>
        <w:t>Sukhothai Thammathirat Open University (STOU), Thailand</w:t>
      </w:r>
      <w:r>
        <w:t>,</w:t>
      </w:r>
      <w:r>
        <w:br w:type="textWrapping"/>
      </w:r>
      <w:r>
        <w:t xml:space="preserve">dengan dukungan </w:t>
      </w:r>
      <w:r>
        <w:rPr>
          <w:b/>
          <w:bCs/>
        </w:rPr>
        <w:t>Asian Development Bank (ADB)</w:t>
      </w:r>
      <w:r>
        <w:t xml:space="preserve"> dan </w:t>
      </w:r>
      <w:r>
        <w:rPr>
          <w:b/>
          <w:bCs/>
        </w:rPr>
        <w:t>UNESCO Regional Office for Asia and the Pacific (PROAP)</w:t>
      </w:r>
      <w:r>
        <w:t>.</w:t>
      </w:r>
    </w:p>
    <w:p w14:paraId="05A0FD9F">
      <w:r>
        <w:t>Seminar tersebut dihadiri oleh perwakilan dari berbagai negara, antara lain:</w:t>
      </w:r>
      <w:r>
        <w:br w:type="textWrapping"/>
      </w:r>
      <w:r>
        <w:t>India, Indonesia, Jepang, Korea Selatan, Pakistan, Sri Lanka, dan Thailand.</w:t>
      </w:r>
    </w:p>
    <w:p w14:paraId="0C2E67C6">
      <w:r>
        <w:t>Tujuan seminar ini adalah untuk membahas kemungkinan pembentukan asosiasi regional universitas terbuka di Asia.</w:t>
      </w:r>
      <w:r>
        <w:br w:type="textWrapping"/>
      </w:r>
      <w:r>
        <w:t>Pada akhir seminar, para peserta sepakat untuk membentuk organisasi kerja sama pendidikan jarak jauh dan mulai menyusun rancangan konstitusi serta rencana kerja.</w:t>
      </w:r>
    </w:p>
    <w:p w14:paraId="6B4FD472"/>
    <w:p w14:paraId="7095F81F">
      <w:pPr>
        <w:rPr>
          <w:b/>
          <w:bCs/>
        </w:rPr>
      </w:pPr>
      <w:r>
        <w:rPr>
          <w:b/>
          <w:bCs/>
        </w:rPr>
        <w:t>4. Konferensi Pendirian AAOU 1987</w:t>
      </w:r>
    </w:p>
    <w:p w14:paraId="445CADE1">
      <w:r>
        <w:t xml:space="preserve">Konferensi resmi pendirian AAOU dan pertemuan penelitian pertamanya dilaksanakan pada </w:t>
      </w:r>
      <w:r>
        <w:rPr>
          <w:b/>
          <w:bCs/>
        </w:rPr>
        <w:t>November 1987</w:t>
      </w:r>
      <w:r>
        <w:t>,</w:t>
      </w:r>
      <w:r>
        <w:br w:type="textWrapping"/>
      </w:r>
      <w:r>
        <w:t>diselenggarakan bersama oleh:</w:t>
      </w:r>
    </w:p>
    <w:p w14:paraId="32876AE1">
      <w:pPr>
        <w:numPr>
          <w:ilvl w:val="0"/>
          <w:numId w:val="9"/>
        </w:numPr>
      </w:pPr>
      <w:r>
        <w:rPr>
          <w:b/>
          <w:bCs/>
        </w:rPr>
        <w:t>Sukhothai Thammathirat Open University (STOU)</w:t>
      </w:r>
      <w:r>
        <w:t xml:space="preserve"> – Thailand</w:t>
      </w:r>
    </w:p>
    <w:p w14:paraId="101C00EC">
      <w:pPr>
        <w:numPr>
          <w:ilvl w:val="0"/>
          <w:numId w:val="9"/>
        </w:numPr>
      </w:pPr>
      <w:r>
        <w:rPr>
          <w:b/>
          <w:bCs/>
        </w:rPr>
        <w:t>University of the Air (sekarang Open University of Japan)</w:t>
      </w:r>
      <w:r>
        <w:t xml:space="preserve"> – Jepang</w:t>
      </w:r>
    </w:p>
    <w:p w14:paraId="1D5C26A4">
      <w:pPr>
        <w:numPr>
          <w:ilvl w:val="0"/>
          <w:numId w:val="9"/>
        </w:numPr>
      </w:pPr>
      <w:r>
        <w:rPr>
          <w:b/>
          <w:bCs/>
        </w:rPr>
        <w:t>National Institute of Multimedia Education (NIME)</w:t>
      </w:r>
      <w:r>
        <w:t xml:space="preserve"> – Jepang</w:t>
      </w:r>
      <w:r>
        <w:br w:type="textWrapping"/>
      </w:r>
      <w:r>
        <w:t xml:space="preserve">dengan dukungan </w:t>
      </w:r>
      <w:r>
        <w:rPr>
          <w:b/>
          <w:bCs/>
        </w:rPr>
        <w:t>UNESCO-PROAP</w:t>
      </w:r>
      <w:r>
        <w:t>.</w:t>
      </w:r>
    </w:p>
    <w:p w14:paraId="7343314D">
      <w:r>
        <w:t>Konferensi berlangsung dalam dua tahap:</w:t>
      </w:r>
      <w:r>
        <w:br w:type="textWrapping"/>
      </w:r>
      <w:r>
        <w:t>1️</w:t>
      </w:r>
      <w:r>
        <w:rPr>
          <w:rFonts w:ascii="Segoe UI Symbol" w:hAnsi="Segoe UI Symbol" w:cs="Segoe UI Symbol"/>
        </w:rPr>
        <w:t>⃣</w:t>
      </w:r>
      <w:r>
        <w:t xml:space="preserve"> </w:t>
      </w:r>
      <w:r>
        <w:rPr>
          <w:b/>
          <w:bCs/>
        </w:rPr>
        <w:t>Tahap pertama (13–14 November 1987)</w:t>
      </w:r>
      <w:r>
        <w:t xml:space="preserve"> di kampus STOU, Nonthaburi, Thailand;</w:t>
      </w:r>
      <w:r>
        <w:br w:type="textWrapping"/>
      </w:r>
      <w:r>
        <w:t>2️</w:t>
      </w:r>
      <w:r>
        <w:rPr>
          <w:rFonts w:ascii="Segoe UI Symbol" w:hAnsi="Segoe UI Symbol" w:cs="Segoe UI Symbol"/>
        </w:rPr>
        <w:t>⃣</w:t>
      </w:r>
      <w:r>
        <w:t xml:space="preserve"> </w:t>
      </w:r>
      <w:r>
        <w:rPr>
          <w:b/>
          <w:bCs/>
        </w:rPr>
        <w:t>Tahap kedua (16–18 November 1987)</w:t>
      </w:r>
      <w:r>
        <w:t xml:space="preserve"> di Tokyo, Jepang, diadakan di Garden Palace Hotel.</w:t>
      </w:r>
    </w:p>
    <w:p w14:paraId="73C73B00">
      <w:r>
        <w:t>Peserta konferensi meliputi pimpinan dari universitas-universitas terbuka utama di Asia, yaitu:</w:t>
      </w:r>
    </w:p>
    <w:p w14:paraId="3D2F5BB9">
      <w:pPr>
        <w:numPr>
          <w:ilvl w:val="0"/>
          <w:numId w:val="10"/>
        </w:numPr>
      </w:pPr>
      <w:r>
        <w:t>Indira Gandhi National Open University (India)</w:t>
      </w:r>
    </w:p>
    <w:p w14:paraId="5CDE9143">
      <w:pPr>
        <w:numPr>
          <w:ilvl w:val="0"/>
          <w:numId w:val="10"/>
        </w:numPr>
      </w:pPr>
      <w:r>
        <w:t>Universitas Terbuka (Indonesia)</w:t>
      </w:r>
    </w:p>
    <w:p w14:paraId="61779500">
      <w:pPr>
        <w:numPr>
          <w:ilvl w:val="0"/>
          <w:numId w:val="10"/>
        </w:numPr>
      </w:pPr>
      <w:r>
        <w:t>Korea National Open University (Korea Selatan)</w:t>
      </w:r>
    </w:p>
    <w:p w14:paraId="439BFCCA">
      <w:pPr>
        <w:numPr>
          <w:ilvl w:val="0"/>
          <w:numId w:val="10"/>
        </w:numPr>
      </w:pPr>
      <w:r>
        <w:t>Allama Iqbal Open University (Pakistan)</w:t>
      </w:r>
    </w:p>
    <w:p w14:paraId="523D986A">
      <w:pPr>
        <w:numPr>
          <w:ilvl w:val="0"/>
          <w:numId w:val="10"/>
        </w:numPr>
      </w:pPr>
      <w:r>
        <w:t>Open University of Sri Lanka (Sri Lanka)</w:t>
      </w:r>
    </w:p>
    <w:p w14:paraId="200CFBD8">
      <w:pPr>
        <w:numPr>
          <w:ilvl w:val="0"/>
          <w:numId w:val="10"/>
        </w:numPr>
      </w:pPr>
      <w:r>
        <w:t>University of the Air (Jepang)</w:t>
      </w:r>
    </w:p>
    <w:p w14:paraId="2D263F13">
      <w:pPr>
        <w:numPr>
          <w:ilvl w:val="0"/>
          <w:numId w:val="10"/>
        </w:numPr>
      </w:pPr>
      <w:r>
        <w:t>Sukhothai Thammathirat Open University (Thailand)</w:t>
      </w:r>
    </w:p>
    <w:p w14:paraId="2F4E78D2">
      <w:r>
        <w:t xml:space="preserve">Ketujuh lembaga ini menandatangani </w:t>
      </w:r>
      <w:r>
        <w:rPr>
          <w:b/>
          <w:bCs/>
        </w:rPr>
        <w:t>Konstitusi AAOU</w:t>
      </w:r>
      <w:r>
        <w:t xml:space="preserve"> dan menyetujui pembentukan resmi asosiasi.</w:t>
      </w:r>
    </w:p>
    <w:p w14:paraId="707DDD9D">
      <w:r>
        <w:t>“Berdirinya AAOU adalah tonggak sejarah baru bagi kerja sama pendidikan terbuka di Asia. UNESCO bangga dapat menjadi bagian dari upaya penting ini.”</w:t>
      </w:r>
      <w:r>
        <w:br w:type="textWrapping"/>
      </w:r>
      <w:r>
        <w:t>— Dr. Makaminan Makagiansar, Direktur Regional UNESCO Asia-Pacific</w:t>
      </w:r>
    </w:p>
    <w:p w14:paraId="27ABBB42"/>
    <w:p w14:paraId="023BAA1F">
      <w:pPr>
        <w:rPr>
          <w:b/>
          <w:bCs/>
        </w:rPr>
      </w:pPr>
      <w:r>
        <w:rPr>
          <w:b/>
          <w:bCs/>
        </w:rPr>
        <w:t>5. Struktur Kepemimpinan Awal</w:t>
      </w:r>
    </w:p>
    <w:p w14:paraId="45FA2441">
      <w:r>
        <w:t>Dalam pertemuan pertama di Thailand, dipilih kepemimpinan sementara AAOU sebagai berikut:</w:t>
      </w:r>
    </w:p>
    <w:p w14:paraId="284DA5E9">
      <w:pPr>
        <w:numPr>
          <w:ilvl w:val="0"/>
          <w:numId w:val="11"/>
        </w:numPr>
      </w:pPr>
      <w:r>
        <w:rPr>
          <w:b/>
          <w:bCs/>
        </w:rPr>
        <w:t>Ketua sementara:</w:t>
      </w:r>
      <w:r>
        <w:t xml:space="preserve"> Dr. Wichit Srisa-an (STOU, Thailand)</w:t>
      </w:r>
    </w:p>
    <w:p w14:paraId="45E2B363">
      <w:pPr>
        <w:numPr>
          <w:ilvl w:val="0"/>
          <w:numId w:val="11"/>
        </w:numPr>
      </w:pPr>
      <w:r>
        <w:rPr>
          <w:b/>
          <w:bCs/>
        </w:rPr>
        <w:t>Wakil Ketua:</w:t>
      </w:r>
      <w:r>
        <w:t xml:space="preserve"> Prof. Miyaji (University of the Air, Jepang)</w:t>
      </w:r>
    </w:p>
    <w:p w14:paraId="2508AB58">
      <w:pPr>
        <w:numPr>
          <w:ilvl w:val="0"/>
          <w:numId w:val="11"/>
        </w:numPr>
      </w:pPr>
      <w:r>
        <w:rPr>
          <w:b/>
          <w:bCs/>
        </w:rPr>
        <w:t>Sekretaris Jenderal:</w:t>
      </w:r>
      <w:r>
        <w:t xml:space="preserve"> Dr. G. Ram Reddy (IGNOU, India)</w:t>
      </w:r>
    </w:p>
    <w:p w14:paraId="58A2024B">
      <w:r>
        <w:t>Pertemuan tersebut juga menetapkan:</w:t>
      </w:r>
    </w:p>
    <w:p w14:paraId="5A3EE158">
      <w:pPr>
        <w:numPr>
          <w:ilvl w:val="0"/>
          <w:numId w:val="12"/>
        </w:numPr>
      </w:pPr>
      <w:r>
        <w:t xml:space="preserve">Lokasi Sekretariat AAOU di </w:t>
      </w:r>
      <w:r>
        <w:rPr>
          <w:b/>
          <w:bCs/>
        </w:rPr>
        <w:t>STOU, Thailand</w:t>
      </w:r>
      <w:r>
        <w:t>;</w:t>
      </w:r>
    </w:p>
    <w:p w14:paraId="3957CE9A">
      <w:pPr>
        <w:numPr>
          <w:ilvl w:val="0"/>
          <w:numId w:val="12"/>
        </w:numPr>
      </w:pPr>
      <w:r>
        <w:t xml:space="preserve">Pembentukan </w:t>
      </w:r>
      <w:r>
        <w:rPr>
          <w:b/>
          <w:bCs/>
        </w:rPr>
        <w:t>Komite Eksekutif (Executive Committee)</w:t>
      </w:r>
      <w:r>
        <w:t>;</w:t>
      </w:r>
    </w:p>
    <w:p w14:paraId="789DB76B">
      <w:pPr>
        <w:numPr>
          <w:ilvl w:val="0"/>
          <w:numId w:val="12"/>
        </w:numPr>
      </w:pPr>
      <w:r>
        <w:t>Penetapan iuran keanggotaan dan rencana keuangan awal;</w:t>
      </w:r>
    </w:p>
    <w:p w14:paraId="55927D07">
      <w:pPr>
        <w:numPr>
          <w:ilvl w:val="0"/>
          <w:numId w:val="12"/>
        </w:numPr>
      </w:pPr>
      <w:r>
        <w:t xml:space="preserve">Penyusunan rancangan kerja sama dengan organisasi internasional seperti </w:t>
      </w:r>
      <w:r>
        <w:rPr>
          <w:b/>
          <w:bCs/>
        </w:rPr>
        <w:t>UNESCO</w:t>
      </w:r>
      <w:r>
        <w:t xml:space="preserve">, </w:t>
      </w:r>
      <w:r>
        <w:rPr>
          <w:b/>
          <w:bCs/>
        </w:rPr>
        <w:t>COL</w:t>
      </w:r>
      <w:r>
        <w:t xml:space="preserve">, dan </w:t>
      </w:r>
      <w:r>
        <w:rPr>
          <w:b/>
          <w:bCs/>
        </w:rPr>
        <w:t>EADTU</w:t>
      </w:r>
      <w:r>
        <w:t>.</w:t>
      </w:r>
    </w:p>
    <w:p w14:paraId="6FD36ACE"/>
    <w:p w14:paraId="1CB544F1">
      <w:pPr>
        <w:rPr>
          <w:b/>
          <w:bCs/>
        </w:rPr>
      </w:pPr>
      <w:r>
        <w:rPr>
          <w:b/>
          <w:bCs/>
        </w:rPr>
        <w:t>6. Penandatanganan Konstitusi AAOU</w:t>
      </w:r>
    </w:p>
    <w:p w14:paraId="71229ECD">
      <w:r>
        <w:t xml:space="preserve">Upacara penandatanganan </w:t>
      </w:r>
      <w:r>
        <w:rPr>
          <w:b/>
          <w:bCs/>
        </w:rPr>
        <w:t>Konstitusi AAOU</w:t>
      </w:r>
      <w:r>
        <w:t xml:space="preserve"> dilaksanakan pada </w:t>
      </w:r>
      <w:r>
        <w:rPr>
          <w:b/>
          <w:bCs/>
        </w:rPr>
        <w:t>13 November 1987</w:t>
      </w:r>
      <w:r>
        <w:t xml:space="preserve"> di STOU, Thailand.</w:t>
      </w:r>
      <w:r>
        <w:br w:type="textWrapping"/>
      </w:r>
      <w:r>
        <w:t>Dokumen ini terdiri dari 15 pasal yang mencakup:</w:t>
      </w:r>
    </w:p>
    <w:p w14:paraId="583302BA">
      <w:pPr>
        <w:numPr>
          <w:ilvl w:val="0"/>
          <w:numId w:val="13"/>
        </w:numPr>
      </w:pPr>
      <w:r>
        <w:t>Nama, tujuan, dan sifat organisasi;</w:t>
      </w:r>
    </w:p>
    <w:p w14:paraId="37FC74E9">
      <w:pPr>
        <w:numPr>
          <w:ilvl w:val="0"/>
          <w:numId w:val="13"/>
        </w:numPr>
      </w:pPr>
      <w:r>
        <w:t>Kategori keanggotaan;</w:t>
      </w:r>
    </w:p>
    <w:p w14:paraId="6B1DD23A">
      <w:pPr>
        <w:numPr>
          <w:ilvl w:val="0"/>
          <w:numId w:val="13"/>
        </w:numPr>
      </w:pPr>
      <w:r>
        <w:t>Tugas dan wewenang Majelis Umum dan Komite Eksekutif;</w:t>
      </w:r>
    </w:p>
    <w:p w14:paraId="7216F520">
      <w:pPr>
        <w:numPr>
          <w:ilvl w:val="0"/>
          <w:numId w:val="13"/>
        </w:numPr>
      </w:pPr>
      <w:r>
        <w:t>Fungsi Ketua dan Sekretaris Jenderal;</w:t>
      </w:r>
    </w:p>
    <w:p w14:paraId="75C6C8C7">
      <w:pPr>
        <w:numPr>
          <w:ilvl w:val="0"/>
          <w:numId w:val="13"/>
        </w:numPr>
      </w:pPr>
      <w:r>
        <w:t>Pengelolaan keuangan dan mekanisme amandemen konstitusi.</w:t>
      </w:r>
    </w:p>
    <w:p w14:paraId="661179BE">
      <w:r>
        <w:t>Penandatanganan dihadiri oleh perwakilan dari tujuh universitas pendiri:</w:t>
      </w:r>
    </w:p>
    <w:p w14:paraId="47786D2D">
      <w:pPr>
        <w:numPr>
          <w:ilvl w:val="0"/>
          <w:numId w:val="14"/>
        </w:numPr>
      </w:pPr>
      <w:r>
        <w:t>Dr. G. Ram Reddy (IGNOU, India)</w:t>
      </w:r>
    </w:p>
    <w:p w14:paraId="72013A8D">
      <w:pPr>
        <w:numPr>
          <w:ilvl w:val="0"/>
          <w:numId w:val="14"/>
        </w:numPr>
      </w:pPr>
      <w:r>
        <w:t>Dr. Setijadi (Universitas Terbuka, Indonesia)</w:t>
      </w:r>
    </w:p>
    <w:p w14:paraId="34301FF2">
      <w:pPr>
        <w:numPr>
          <w:ilvl w:val="0"/>
          <w:numId w:val="14"/>
        </w:numPr>
      </w:pPr>
      <w:r>
        <w:t>Dr. Yasuo Kobayashi (University of the Air, Jepang)</w:t>
      </w:r>
    </w:p>
    <w:p w14:paraId="35464FF8">
      <w:pPr>
        <w:numPr>
          <w:ilvl w:val="0"/>
          <w:numId w:val="14"/>
        </w:numPr>
      </w:pPr>
      <w:r>
        <w:t>Dr. Jung Chulin (Korea National Open University)</w:t>
      </w:r>
    </w:p>
    <w:p w14:paraId="6576BAC1">
      <w:pPr>
        <w:numPr>
          <w:ilvl w:val="0"/>
          <w:numId w:val="14"/>
        </w:numPr>
      </w:pPr>
      <w:r>
        <w:t>Dr. Siddique Shibli (AIOU, Pakistan)</w:t>
      </w:r>
    </w:p>
    <w:p w14:paraId="16E759E7">
      <w:pPr>
        <w:numPr>
          <w:ilvl w:val="0"/>
          <w:numId w:val="14"/>
        </w:numPr>
      </w:pPr>
      <w:r>
        <w:t>Dr. D.S. Wijeyesekera (Open University of Sri Lanka)</w:t>
      </w:r>
    </w:p>
    <w:p w14:paraId="4470B9F3">
      <w:pPr>
        <w:numPr>
          <w:ilvl w:val="0"/>
          <w:numId w:val="14"/>
        </w:numPr>
      </w:pPr>
      <w:r>
        <w:t>Dr. Wichit Srisa-an (STOU, Thailand)</w:t>
      </w:r>
    </w:p>
    <w:p w14:paraId="07397280">
      <w:pPr>
        <w:rPr>
          <w:b/>
          <w:bCs/>
        </w:rPr>
      </w:pPr>
      <w:r>
        <w:rPr>
          <w:b/>
          <w:bCs/>
        </w:rPr>
        <w:t>BAB 2 (lanjutan) — Pendirian dan Perkembangan Awal AAOU</w:t>
      </w:r>
    </w:p>
    <w:p w14:paraId="41EA5E1C">
      <w:pPr>
        <w:rPr>
          <w:b/>
          <w:bCs/>
        </w:rPr>
      </w:pPr>
      <w:r>
        <w:rPr>
          <w:b/>
          <w:bCs/>
        </w:rPr>
        <w:t>7. Kontribusi Negara-Negara Pendiri</w:t>
      </w:r>
    </w:p>
    <w:p w14:paraId="57292832">
      <w:pPr>
        <w:rPr>
          <w:b/>
          <w:bCs/>
        </w:rPr>
      </w:pPr>
      <w:r>
        <w:rPr>
          <w:b/>
          <w:bCs/>
        </w:rPr>
        <w:t>Thailand</w:t>
      </w:r>
    </w:p>
    <w:p w14:paraId="60F7DFB4">
      <w:r>
        <w:t xml:space="preserve">Thailand, melalui </w:t>
      </w:r>
      <w:r>
        <w:rPr>
          <w:b/>
          <w:bCs/>
        </w:rPr>
        <w:t>Sukhothai Thammathirat Open University (STOU)</w:t>
      </w:r>
      <w:r>
        <w:t>, memainkan peran sentral dalam pembentukan AAOU.</w:t>
      </w:r>
      <w:r>
        <w:br w:type="textWrapping"/>
      </w:r>
      <w:r>
        <w:t xml:space="preserve">Pada tahun 1986, STOU menjadi tuan rumah </w:t>
      </w:r>
      <w:r>
        <w:rPr>
          <w:i/>
          <w:iCs/>
        </w:rPr>
        <w:t>Seminar Regional Pendidikan Jarak Jauh Asia</w:t>
      </w:r>
      <w:r>
        <w:t xml:space="preserve"> yang memunculkan gagasan pendirian AAOU.</w:t>
      </w:r>
      <w:r>
        <w:br w:type="textWrapping"/>
      </w:r>
      <w:r>
        <w:t xml:space="preserve">Dengan dukungan </w:t>
      </w:r>
      <w:r>
        <w:rPr>
          <w:b/>
          <w:bCs/>
        </w:rPr>
        <w:t>ADB</w:t>
      </w:r>
      <w:r>
        <w:t xml:space="preserve"> dan </w:t>
      </w:r>
      <w:r>
        <w:rPr>
          <w:b/>
          <w:bCs/>
        </w:rPr>
        <w:t>UNESCO</w:t>
      </w:r>
      <w:r>
        <w:t>, seminar ini menghasilkan rancangan awal konstitusi organisasi.</w:t>
      </w:r>
    </w:p>
    <w:p w14:paraId="204DD88E">
      <w:r>
        <w:t xml:space="preserve">Pada konferensi pendirian tahun 1987, STOU juga menjadi lokasi tahap pertama pertemuan dan ditunjuk sebagai </w:t>
      </w:r>
      <w:r>
        <w:rPr>
          <w:b/>
          <w:bCs/>
        </w:rPr>
        <w:t>Sekretariat Tetap AAOU</w:t>
      </w:r>
      <w:r>
        <w:t>.</w:t>
      </w:r>
      <w:r>
        <w:br w:type="textWrapping"/>
      </w:r>
      <w:r>
        <w:t xml:space="preserve">STOU diberi mandat sebagai </w:t>
      </w:r>
      <w:r>
        <w:rPr>
          <w:b/>
          <w:bCs/>
        </w:rPr>
        <w:t>Pusat Sumber Daya Regional (Regional Resource Centre)</w:t>
      </w:r>
      <w:r>
        <w:t xml:space="preserve"> dengan empat fungsi utama:</w:t>
      </w:r>
      <w:r>
        <w:br w:type="textWrapping"/>
      </w:r>
      <w:r>
        <w:t>1️</w:t>
      </w:r>
      <w:r>
        <w:rPr>
          <w:rFonts w:ascii="Segoe UI Symbol" w:hAnsi="Segoe UI Symbol" w:cs="Segoe UI Symbol"/>
        </w:rPr>
        <w:t>⃣</w:t>
      </w:r>
      <w:r>
        <w:t xml:space="preserve"> Mengumpulkan dan mendistribusikan materi pembelajaran;</w:t>
      </w:r>
      <w:r>
        <w:br w:type="textWrapping"/>
      </w:r>
      <w:r>
        <w:t>2️</w:t>
      </w:r>
      <w:r>
        <w:rPr>
          <w:rFonts w:ascii="Segoe UI Symbol" w:hAnsi="Segoe UI Symbol" w:cs="Segoe UI Symbol"/>
        </w:rPr>
        <w:t>⃣</w:t>
      </w:r>
      <w:r>
        <w:t xml:space="preserve"> Menyediakan pusat informasi antaranggota;</w:t>
      </w:r>
      <w:r>
        <w:br w:type="textWrapping"/>
      </w:r>
      <w:r>
        <w:t>3️</w:t>
      </w:r>
      <w:r>
        <w:rPr>
          <w:rFonts w:ascii="Segoe UI Symbol" w:hAnsi="Segoe UI Symbol" w:cs="Segoe UI Symbol"/>
        </w:rPr>
        <w:t>⃣</w:t>
      </w:r>
      <w:r>
        <w:t xml:space="preserve"> Mengembangkan penelitian di bidang ODE;</w:t>
      </w:r>
      <w:r>
        <w:br w:type="textWrapping"/>
      </w:r>
      <w:r>
        <w:t>4️</w:t>
      </w:r>
      <w:r>
        <w:rPr>
          <w:rFonts w:ascii="Segoe UI Symbol" w:hAnsi="Segoe UI Symbol" w:cs="Segoe UI Symbol"/>
        </w:rPr>
        <w:t>⃣</w:t>
      </w:r>
      <w:r>
        <w:t xml:space="preserve"> Menyelenggarakan pelatihan dan pengembangan profesional.</w:t>
      </w:r>
    </w:p>
    <w:p w14:paraId="65798318"/>
    <w:p w14:paraId="01A722D0">
      <w:pPr>
        <w:rPr>
          <w:b/>
          <w:bCs/>
        </w:rPr>
      </w:pPr>
      <w:r>
        <w:rPr>
          <w:b/>
          <w:bCs/>
        </w:rPr>
        <w:t>Jepang</w:t>
      </w:r>
    </w:p>
    <w:p w14:paraId="03EF390B">
      <w:r>
        <w:rPr>
          <w:b/>
          <w:bCs/>
        </w:rPr>
        <w:t>University of the Air (sekarang Open University of Japan)</w:t>
      </w:r>
      <w:r>
        <w:t xml:space="preserve"> dan </w:t>
      </w:r>
      <w:r>
        <w:rPr>
          <w:b/>
          <w:bCs/>
        </w:rPr>
        <w:t>National Institute of Multimedia Education (NIME)</w:t>
      </w:r>
      <w:r>
        <w:t xml:space="preserve"> turut menjadi pelopor pendirian AAOU.</w:t>
      </w:r>
      <w:r>
        <w:br w:type="textWrapping"/>
      </w:r>
      <w:r>
        <w:t xml:space="preserve">Rektor University of the Air, Prof. Hideo Katsuki, mendukung penuh pembentukan AAOU dan menjadi </w:t>
      </w:r>
      <w:r>
        <w:rPr>
          <w:b/>
          <w:bCs/>
        </w:rPr>
        <w:t>President-Elect</w:t>
      </w:r>
      <w:r>
        <w:t xml:space="preserve"> pertama.</w:t>
      </w:r>
      <w:r>
        <w:br w:type="textWrapping"/>
      </w:r>
      <w:r>
        <w:t>NIME memberikan dukungan teknis dan dana untuk menyelenggarakan tahap kedua konferensi di Tokyo.</w:t>
      </w:r>
    </w:p>
    <w:p w14:paraId="0B6C064F">
      <w:r>
        <w:t xml:space="preserve">Pada upacara pembukaan di Jepang, Menteri Pendidikan, Sains, dan Kebudayaan, Gentaro Nakajima, menyampaikan pidato bahwa </w:t>
      </w:r>
      <w:r>
        <w:rPr>
          <w:i/>
          <w:iCs/>
        </w:rPr>
        <w:t>pendidikan terbuka adalah sarana penting untuk memperkuat kerja sama dan inovasi di Asia.</w:t>
      </w:r>
    </w:p>
    <w:p w14:paraId="4A3AC339"/>
    <w:p w14:paraId="4B6036F5">
      <w:pPr>
        <w:rPr>
          <w:b/>
          <w:bCs/>
        </w:rPr>
      </w:pPr>
      <w:r>
        <w:rPr>
          <w:b/>
          <w:bCs/>
        </w:rPr>
        <w:t>India</w:t>
      </w:r>
    </w:p>
    <w:p w14:paraId="45292B79">
      <w:r>
        <w:rPr>
          <w:b/>
          <w:bCs/>
        </w:rPr>
        <w:t>Indira Gandhi National Open University (IGNOU)</w:t>
      </w:r>
      <w:r>
        <w:t xml:space="preserve"> adalah salah satu penggerak utama AAOU.</w:t>
      </w:r>
      <w:r>
        <w:br w:type="textWrapping"/>
      </w:r>
      <w:r>
        <w:t xml:space="preserve">Wakil Rektor IGNOU, </w:t>
      </w:r>
      <w:r>
        <w:rPr>
          <w:b/>
          <w:bCs/>
        </w:rPr>
        <w:t>Dr. G. Ram Reddy</w:t>
      </w:r>
      <w:r>
        <w:t xml:space="preserve">, menjadi </w:t>
      </w:r>
      <w:r>
        <w:rPr>
          <w:b/>
          <w:bCs/>
        </w:rPr>
        <w:t>Sekretaris Jenderal pertama AAOU</w:t>
      </w:r>
      <w:r>
        <w:t xml:space="preserve"> dan salah satu perancang konstitusi.</w:t>
      </w:r>
      <w:r>
        <w:br w:type="textWrapping"/>
      </w:r>
      <w:r>
        <w:t>Reddy dikenal sebagai “Bapak Pendidikan Terbuka India,” dan gagasan serta kepemimpinannya sangat berpengaruh dalam menentukan arah awal asosiasi.</w:t>
      </w:r>
    </w:p>
    <w:p w14:paraId="57758BF6"/>
    <w:p w14:paraId="53872F63">
      <w:pPr>
        <w:rPr>
          <w:b/>
          <w:bCs/>
        </w:rPr>
      </w:pPr>
      <w:r>
        <w:rPr>
          <w:b/>
          <w:bCs/>
        </w:rPr>
        <w:t>Indonesia</w:t>
      </w:r>
    </w:p>
    <w:p w14:paraId="0431CCB3">
      <w:r>
        <w:rPr>
          <w:b/>
          <w:bCs/>
        </w:rPr>
        <w:t>Universitas Terbuka (UT)</w:t>
      </w:r>
      <w:r>
        <w:t xml:space="preserve"> berperan penting dalam tahap perumusan konstitusi dan pertemuan pendirian.</w:t>
      </w:r>
      <w:r>
        <w:br w:type="textWrapping"/>
      </w:r>
      <w:r>
        <w:t xml:space="preserve">Rektor pertama UT, </w:t>
      </w:r>
      <w:r>
        <w:rPr>
          <w:b/>
          <w:bCs/>
        </w:rPr>
        <w:t>Prof. Setijadi</w:t>
      </w:r>
      <w:r>
        <w:t>, merupakan salah satu penandatangan dokumen pendirian dan anggota pertama Komite Eksekutif AAOU.</w:t>
      </w:r>
      <w:r>
        <w:br w:type="textWrapping"/>
      </w:r>
      <w:r>
        <w:t>UT menjadi jembatan antara Asia Tenggara dan negara-negara Asia Selatan dalam kolaborasi riset dan pelatihan dosen.</w:t>
      </w:r>
    </w:p>
    <w:p w14:paraId="05869971"/>
    <w:p w14:paraId="17B93030">
      <w:pPr>
        <w:rPr>
          <w:b/>
          <w:bCs/>
        </w:rPr>
      </w:pPr>
      <w:r>
        <w:rPr>
          <w:b/>
          <w:bCs/>
        </w:rPr>
        <w:t>Korea Selatan</w:t>
      </w:r>
    </w:p>
    <w:p w14:paraId="367A5464">
      <w:r>
        <w:rPr>
          <w:b/>
          <w:bCs/>
        </w:rPr>
        <w:t>Korea National Open University (KNOU)</w:t>
      </w:r>
      <w:r>
        <w:t xml:space="preserve">, yang sebelumnya dikenal sebagai </w:t>
      </w:r>
      <w:r>
        <w:rPr>
          <w:i/>
          <w:iCs/>
        </w:rPr>
        <w:t>Korea Air &amp; Correspondence University</w:t>
      </w:r>
      <w:r>
        <w:t>, menjadi salah satu universitas terbuka paling awal di kawasan Asia Timur.</w:t>
      </w:r>
      <w:r>
        <w:br w:type="textWrapping"/>
      </w:r>
      <w:r>
        <w:t xml:space="preserve">Perwakilannya, </w:t>
      </w:r>
      <w:r>
        <w:rPr>
          <w:b/>
          <w:bCs/>
        </w:rPr>
        <w:t>Dr. Jung Chulin</w:t>
      </w:r>
      <w:r>
        <w:t>, turut menandatangani konstitusi dan berperan aktif dalam pengembangan teknologi pembelajaran berbasis media elektronik.</w:t>
      </w:r>
    </w:p>
    <w:p w14:paraId="0E044797"/>
    <w:p w14:paraId="553B155D">
      <w:pPr>
        <w:rPr>
          <w:b/>
          <w:bCs/>
        </w:rPr>
      </w:pPr>
      <w:r>
        <w:rPr>
          <w:b/>
          <w:bCs/>
        </w:rPr>
        <w:t>Pakistan</w:t>
      </w:r>
    </w:p>
    <w:p w14:paraId="56AF82C0">
      <w:r>
        <w:rPr>
          <w:b/>
          <w:bCs/>
        </w:rPr>
        <w:t>Allama Iqbal Open University (AIOU)</w:t>
      </w:r>
      <w:r>
        <w:t xml:space="preserve"> merupakan pelopor awal ide pembentukan asosiasi pendidikan jarak jauh Asia.</w:t>
      </w:r>
      <w:r>
        <w:br w:type="textWrapping"/>
      </w:r>
      <w:r>
        <w:t xml:space="preserve">Perwakilannya, </w:t>
      </w:r>
      <w:r>
        <w:rPr>
          <w:b/>
          <w:bCs/>
        </w:rPr>
        <w:t>Dr. Siddique Shibli</w:t>
      </w:r>
      <w:r>
        <w:t>, hadir dalam konferensi 1987 dan ikut menandatangani konstitusi.</w:t>
      </w:r>
      <w:r>
        <w:br w:type="textWrapping"/>
      </w:r>
      <w:r>
        <w:t>AIOU mengembangkan kurikulum berbasis bahasa lokal dan pendidikan berbasis komunitas, yang kemudian menjadi model bagi banyak negara Asia lainnya.</w:t>
      </w:r>
    </w:p>
    <w:p w14:paraId="2637E428"/>
    <w:p w14:paraId="4938954B">
      <w:pPr>
        <w:rPr>
          <w:b/>
          <w:bCs/>
        </w:rPr>
      </w:pPr>
      <w:r>
        <w:rPr>
          <w:b/>
          <w:bCs/>
        </w:rPr>
        <w:t>Sri Lanka</w:t>
      </w:r>
    </w:p>
    <w:p w14:paraId="1AC43205">
      <w:r>
        <w:rPr>
          <w:b/>
          <w:bCs/>
        </w:rPr>
        <w:t>Open University of Sri Lanka (OUSL)</w:t>
      </w:r>
      <w:r>
        <w:t xml:space="preserve">, di bawah kepemimpinan </w:t>
      </w:r>
      <w:r>
        <w:rPr>
          <w:b/>
          <w:bCs/>
        </w:rPr>
        <w:t>Prof. D.S. Wijeyesekera</w:t>
      </w:r>
      <w:r>
        <w:t>, menjadi bagian penting dari jaringan awal AAOU.</w:t>
      </w:r>
      <w:r>
        <w:br w:type="textWrapping"/>
      </w:r>
      <w:r>
        <w:t>OUSL memimpin pengembangan pusat belajar jarak jauh berbasis komunitas dan berperan sebagai tuan rumah konferensi AAOU tahun 1991.</w:t>
      </w:r>
    </w:p>
    <w:p w14:paraId="73BFA023"/>
    <w:p w14:paraId="196F5302">
      <w:pPr>
        <w:rPr>
          <w:b/>
          <w:bCs/>
        </w:rPr>
      </w:pPr>
      <w:r>
        <w:rPr>
          <w:b/>
          <w:bCs/>
        </w:rPr>
        <w:t>8. Tokoh-Tokoh Pendiri dan Kontribusinya</w:t>
      </w:r>
    </w:p>
    <w:tbl>
      <w:tblPr>
        <w:tblStyle w:val="13"/>
        <w:tblW w:w="0" w:type="auto"/>
        <w:tblCellSpacing w:w="15" w:type="dxa"/>
        <w:tblInd w:w="0" w:type="dxa"/>
        <w:tblLayout w:type="autofit"/>
        <w:tblCellMar>
          <w:top w:w="15" w:type="dxa"/>
          <w:left w:w="15" w:type="dxa"/>
          <w:bottom w:w="15" w:type="dxa"/>
          <w:right w:w="15" w:type="dxa"/>
        </w:tblCellMar>
      </w:tblPr>
      <w:tblGrid>
        <w:gridCol w:w="2048"/>
        <w:gridCol w:w="1391"/>
        <w:gridCol w:w="5291"/>
      </w:tblGrid>
      <w:tr w14:paraId="706B95F5">
        <w:tblPrEx>
          <w:tblCellMar>
            <w:top w:w="15" w:type="dxa"/>
            <w:left w:w="15" w:type="dxa"/>
            <w:bottom w:w="15" w:type="dxa"/>
            <w:right w:w="15" w:type="dxa"/>
          </w:tblCellMar>
        </w:tblPrEx>
        <w:trPr>
          <w:tblHeader/>
          <w:tblCellSpacing w:w="15" w:type="dxa"/>
        </w:trPr>
        <w:tc>
          <w:tcPr>
            <w:tcW w:w="0" w:type="auto"/>
            <w:vAlign w:val="center"/>
          </w:tcPr>
          <w:p w14:paraId="5ED0239B">
            <w:pPr>
              <w:rPr>
                <w:b/>
                <w:bCs/>
              </w:rPr>
            </w:pPr>
            <w:r>
              <w:rPr>
                <w:b/>
                <w:bCs/>
              </w:rPr>
              <w:t>Nama</w:t>
            </w:r>
          </w:p>
        </w:tc>
        <w:tc>
          <w:tcPr>
            <w:tcW w:w="0" w:type="auto"/>
            <w:vAlign w:val="center"/>
          </w:tcPr>
          <w:p w14:paraId="71F2CDC4">
            <w:pPr>
              <w:rPr>
                <w:b/>
                <w:bCs/>
              </w:rPr>
            </w:pPr>
            <w:r>
              <w:rPr>
                <w:b/>
                <w:bCs/>
              </w:rPr>
              <w:t>Asal</w:t>
            </w:r>
          </w:p>
        </w:tc>
        <w:tc>
          <w:tcPr>
            <w:tcW w:w="0" w:type="auto"/>
            <w:vAlign w:val="center"/>
          </w:tcPr>
          <w:p w14:paraId="0ACCDDF4">
            <w:pPr>
              <w:rPr>
                <w:b/>
                <w:bCs/>
              </w:rPr>
            </w:pPr>
            <w:r>
              <w:rPr>
                <w:b/>
                <w:bCs/>
              </w:rPr>
              <w:t>Kontribusi Utama</w:t>
            </w:r>
          </w:p>
        </w:tc>
      </w:tr>
      <w:tr w14:paraId="3ECCDBBB">
        <w:tblPrEx>
          <w:tblCellMar>
            <w:top w:w="15" w:type="dxa"/>
            <w:left w:w="15" w:type="dxa"/>
            <w:bottom w:w="15" w:type="dxa"/>
            <w:right w:w="15" w:type="dxa"/>
          </w:tblCellMar>
        </w:tblPrEx>
        <w:trPr>
          <w:tblCellSpacing w:w="15" w:type="dxa"/>
        </w:trPr>
        <w:tc>
          <w:tcPr>
            <w:tcW w:w="0" w:type="auto"/>
            <w:vAlign w:val="center"/>
          </w:tcPr>
          <w:p w14:paraId="6A64BA4F">
            <w:r>
              <w:rPr>
                <w:b/>
                <w:bCs/>
              </w:rPr>
              <w:t>Dr. Wichit Srisa-an</w:t>
            </w:r>
          </w:p>
        </w:tc>
        <w:tc>
          <w:tcPr>
            <w:tcW w:w="0" w:type="auto"/>
            <w:vAlign w:val="center"/>
          </w:tcPr>
          <w:p w14:paraId="354C4E87">
            <w:r>
              <w:t>Thailand</w:t>
            </w:r>
          </w:p>
        </w:tc>
        <w:tc>
          <w:tcPr>
            <w:tcW w:w="0" w:type="auto"/>
            <w:vAlign w:val="center"/>
          </w:tcPr>
          <w:p w14:paraId="4B6D651D">
            <w:r>
              <w:t>Pendiri STOU dan inisiator AAOU; merancang sistem pendidikan jarak jauh nasional.</w:t>
            </w:r>
          </w:p>
        </w:tc>
      </w:tr>
      <w:tr w14:paraId="4CFFC096">
        <w:tblPrEx>
          <w:tblCellMar>
            <w:top w:w="15" w:type="dxa"/>
            <w:left w:w="15" w:type="dxa"/>
            <w:bottom w:w="15" w:type="dxa"/>
            <w:right w:w="15" w:type="dxa"/>
          </w:tblCellMar>
        </w:tblPrEx>
        <w:trPr>
          <w:tblCellSpacing w:w="15" w:type="dxa"/>
        </w:trPr>
        <w:tc>
          <w:tcPr>
            <w:tcW w:w="0" w:type="auto"/>
            <w:vAlign w:val="center"/>
          </w:tcPr>
          <w:p w14:paraId="541678BD">
            <w:r>
              <w:rPr>
                <w:b/>
                <w:bCs/>
              </w:rPr>
              <w:t>Prof. G. Ram Reddy</w:t>
            </w:r>
          </w:p>
        </w:tc>
        <w:tc>
          <w:tcPr>
            <w:tcW w:w="0" w:type="auto"/>
            <w:vAlign w:val="center"/>
          </w:tcPr>
          <w:p w14:paraId="7D22C266">
            <w:r>
              <w:t>India</w:t>
            </w:r>
          </w:p>
        </w:tc>
        <w:tc>
          <w:tcPr>
            <w:tcW w:w="0" w:type="auto"/>
            <w:vAlign w:val="center"/>
          </w:tcPr>
          <w:p w14:paraId="3988B7CB">
            <w:r>
              <w:t>Perancang utama konstitusi; Sekretaris Jenderal pertama AAOU.</w:t>
            </w:r>
          </w:p>
        </w:tc>
      </w:tr>
      <w:tr w14:paraId="515CE328">
        <w:tblPrEx>
          <w:tblCellMar>
            <w:top w:w="15" w:type="dxa"/>
            <w:left w:w="15" w:type="dxa"/>
            <w:bottom w:w="15" w:type="dxa"/>
            <w:right w:w="15" w:type="dxa"/>
          </w:tblCellMar>
        </w:tblPrEx>
        <w:trPr>
          <w:tblCellSpacing w:w="15" w:type="dxa"/>
        </w:trPr>
        <w:tc>
          <w:tcPr>
            <w:tcW w:w="0" w:type="auto"/>
            <w:vAlign w:val="center"/>
          </w:tcPr>
          <w:p w14:paraId="0A8C0C2B">
            <w:r>
              <w:rPr>
                <w:b/>
                <w:bCs/>
              </w:rPr>
              <w:t>Prof. Setijadi</w:t>
            </w:r>
          </w:p>
        </w:tc>
        <w:tc>
          <w:tcPr>
            <w:tcW w:w="0" w:type="auto"/>
            <w:vAlign w:val="center"/>
          </w:tcPr>
          <w:p w14:paraId="39BB80A6">
            <w:r>
              <w:t>Indonesia</w:t>
            </w:r>
          </w:p>
        </w:tc>
        <w:tc>
          <w:tcPr>
            <w:tcW w:w="0" w:type="auto"/>
            <w:vAlign w:val="center"/>
          </w:tcPr>
          <w:p w14:paraId="69432E87">
            <w:r>
              <w:t>Rektor pertama UT; penggerak kolaborasi riset dan pelatihan dosen di Asia Tenggara.</w:t>
            </w:r>
          </w:p>
        </w:tc>
      </w:tr>
      <w:tr w14:paraId="438A52A2">
        <w:tblPrEx>
          <w:tblCellMar>
            <w:top w:w="15" w:type="dxa"/>
            <w:left w:w="15" w:type="dxa"/>
            <w:bottom w:w="15" w:type="dxa"/>
            <w:right w:w="15" w:type="dxa"/>
          </w:tblCellMar>
        </w:tblPrEx>
        <w:trPr>
          <w:tblCellSpacing w:w="15" w:type="dxa"/>
        </w:trPr>
        <w:tc>
          <w:tcPr>
            <w:tcW w:w="0" w:type="auto"/>
            <w:vAlign w:val="center"/>
          </w:tcPr>
          <w:p w14:paraId="738367DE">
            <w:r>
              <w:rPr>
                <w:b/>
                <w:bCs/>
              </w:rPr>
              <w:t>Dr. Yasuo Kobayashi</w:t>
            </w:r>
          </w:p>
        </w:tc>
        <w:tc>
          <w:tcPr>
            <w:tcW w:w="0" w:type="auto"/>
            <w:vAlign w:val="center"/>
          </w:tcPr>
          <w:p w14:paraId="1334B6E6">
            <w:r>
              <w:t>Jepang</w:t>
            </w:r>
          </w:p>
        </w:tc>
        <w:tc>
          <w:tcPr>
            <w:tcW w:w="0" w:type="auto"/>
            <w:vAlign w:val="center"/>
          </w:tcPr>
          <w:p w14:paraId="685943C9">
            <w:r>
              <w:t>Wakil Rektor University of the Air; memimpin pengembangan pembelajaran berbasis siaran.</w:t>
            </w:r>
          </w:p>
        </w:tc>
      </w:tr>
      <w:tr w14:paraId="692025F5">
        <w:tblPrEx>
          <w:tblCellMar>
            <w:top w:w="15" w:type="dxa"/>
            <w:left w:w="15" w:type="dxa"/>
            <w:bottom w:w="15" w:type="dxa"/>
            <w:right w:w="15" w:type="dxa"/>
          </w:tblCellMar>
        </w:tblPrEx>
        <w:trPr>
          <w:tblCellSpacing w:w="15" w:type="dxa"/>
        </w:trPr>
        <w:tc>
          <w:tcPr>
            <w:tcW w:w="0" w:type="auto"/>
            <w:vAlign w:val="center"/>
          </w:tcPr>
          <w:p w14:paraId="2C90D7CF">
            <w:r>
              <w:rPr>
                <w:b/>
                <w:bCs/>
              </w:rPr>
              <w:t>Dr. Jung Chulin</w:t>
            </w:r>
          </w:p>
        </w:tc>
        <w:tc>
          <w:tcPr>
            <w:tcW w:w="0" w:type="auto"/>
            <w:vAlign w:val="center"/>
          </w:tcPr>
          <w:p w14:paraId="4BB3FA90">
            <w:r>
              <w:t>Korea Selatan</w:t>
            </w:r>
          </w:p>
        </w:tc>
        <w:tc>
          <w:tcPr>
            <w:tcW w:w="0" w:type="auto"/>
            <w:vAlign w:val="center"/>
          </w:tcPr>
          <w:p w14:paraId="52A04266">
            <w:r>
              <w:t>Pionir penelitian media pembelajaran dan teknologi pendidikan digital.</w:t>
            </w:r>
          </w:p>
        </w:tc>
      </w:tr>
      <w:tr w14:paraId="0851D44F">
        <w:tblPrEx>
          <w:tblCellMar>
            <w:top w:w="15" w:type="dxa"/>
            <w:left w:w="15" w:type="dxa"/>
            <w:bottom w:w="15" w:type="dxa"/>
            <w:right w:w="15" w:type="dxa"/>
          </w:tblCellMar>
        </w:tblPrEx>
        <w:trPr>
          <w:tblCellSpacing w:w="15" w:type="dxa"/>
        </w:trPr>
        <w:tc>
          <w:tcPr>
            <w:tcW w:w="0" w:type="auto"/>
            <w:vAlign w:val="center"/>
          </w:tcPr>
          <w:p w14:paraId="115D1F38">
            <w:r>
              <w:rPr>
                <w:b/>
                <w:bCs/>
              </w:rPr>
              <w:t>Dr. Siddique Shibli</w:t>
            </w:r>
          </w:p>
        </w:tc>
        <w:tc>
          <w:tcPr>
            <w:tcW w:w="0" w:type="auto"/>
            <w:vAlign w:val="center"/>
          </w:tcPr>
          <w:p w14:paraId="3C835A72">
            <w:r>
              <w:t>Pakistan</w:t>
            </w:r>
          </w:p>
        </w:tc>
        <w:tc>
          <w:tcPr>
            <w:tcW w:w="0" w:type="auto"/>
            <w:vAlign w:val="center"/>
          </w:tcPr>
          <w:p w14:paraId="16319C9C">
            <w:r>
              <w:t>Promotor pendidikan berbasis masyarakat; pembela kuat prinsip akses pendidikan universal.</w:t>
            </w:r>
          </w:p>
        </w:tc>
      </w:tr>
      <w:tr w14:paraId="6E23C5FB">
        <w:tblPrEx>
          <w:tblCellMar>
            <w:top w:w="15" w:type="dxa"/>
            <w:left w:w="15" w:type="dxa"/>
            <w:bottom w:w="15" w:type="dxa"/>
            <w:right w:w="15" w:type="dxa"/>
          </w:tblCellMar>
        </w:tblPrEx>
        <w:trPr>
          <w:tblCellSpacing w:w="15" w:type="dxa"/>
        </w:trPr>
        <w:tc>
          <w:tcPr>
            <w:tcW w:w="0" w:type="auto"/>
            <w:vAlign w:val="center"/>
          </w:tcPr>
          <w:p w14:paraId="464A80B0">
            <w:r>
              <w:rPr>
                <w:b/>
                <w:bCs/>
              </w:rPr>
              <w:t>Prof. D.S. Wijeyesekera</w:t>
            </w:r>
          </w:p>
        </w:tc>
        <w:tc>
          <w:tcPr>
            <w:tcW w:w="0" w:type="auto"/>
            <w:vAlign w:val="center"/>
          </w:tcPr>
          <w:p w14:paraId="3337BD4D">
            <w:r>
              <w:t>Sri Lanka</w:t>
            </w:r>
          </w:p>
        </w:tc>
        <w:tc>
          <w:tcPr>
            <w:tcW w:w="0" w:type="auto"/>
            <w:vAlign w:val="center"/>
          </w:tcPr>
          <w:p w14:paraId="7C65F2E2">
            <w:r>
              <w:t>Tokoh utama dalam pembentukan jaringan ODL di Asia Selatan.</w:t>
            </w:r>
          </w:p>
        </w:tc>
      </w:tr>
    </w:tbl>
    <w:p w14:paraId="6D6F0E04"/>
    <w:p w14:paraId="58799594">
      <w:pPr>
        <w:rPr>
          <w:b/>
          <w:bCs/>
        </w:rPr>
      </w:pPr>
      <w:r>
        <w:rPr>
          <w:b/>
          <w:bCs/>
        </w:rPr>
        <w:t>9. Struktur dan Tata Kelola Awal</w:t>
      </w:r>
    </w:p>
    <w:p w14:paraId="4B6C3EC8">
      <w:r>
        <w:t>Konstitusi AAOU (1987) menetapkan struktur organisasi sebagai berikut:</w:t>
      </w:r>
      <w:r>
        <w:br w:type="textWrapping"/>
      </w:r>
      <w:r>
        <w:t>1️</w:t>
      </w:r>
      <w:r>
        <w:rPr>
          <w:rFonts w:ascii="Segoe UI Symbol" w:hAnsi="Segoe UI Symbol" w:cs="Segoe UI Symbol"/>
        </w:rPr>
        <w:t>⃣</w:t>
      </w:r>
      <w:r>
        <w:t xml:space="preserve"> </w:t>
      </w:r>
      <w:r>
        <w:rPr>
          <w:b/>
          <w:bCs/>
        </w:rPr>
        <w:t>Majelis Umum (General Body)</w:t>
      </w:r>
      <w:r>
        <w:t xml:space="preserve"> — terdiri dari seluruh anggota; bertugas menentukan kebijakan umum, menyetujui laporan tahunan, dan memilih komite eksekutif.</w:t>
      </w:r>
      <w:r>
        <w:br w:type="textWrapping"/>
      </w:r>
      <w:r>
        <w:t>2️</w:t>
      </w:r>
      <w:r>
        <w:rPr>
          <w:rFonts w:ascii="Segoe UI Symbol" w:hAnsi="Segoe UI Symbol" w:cs="Segoe UI Symbol"/>
        </w:rPr>
        <w:t>⃣</w:t>
      </w:r>
      <w:r>
        <w:t xml:space="preserve"> </w:t>
      </w:r>
      <w:r>
        <w:rPr>
          <w:b/>
          <w:bCs/>
        </w:rPr>
        <w:t>Komite Eksekutif (Executive Committee)</w:t>
      </w:r>
      <w:r>
        <w:t xml:space="preserve"> — masa jabatan tiga tahun; terdiri dari Ketua, Sekretaris Jenderal, Ketua sebelumnya, dan perwakilan dari setiap sub-kawasan Asia.</w:t>
      </w:r>
      <w:r>
        <w:br w:type="textWrapping"/>
      </w:r>
      <w:r>
        <w:t>3️</w:t>
      </w:r>
      <w:r>
        <w:rPr>
          <w:rFonts w:ascii="Segoe UI Symbol" w:hAnsi="Segoe UI Symbol" w:cs="Segoe UI Symbol"/>
        </w:rPr>
        <w:t>⃣</w:t>
      </w:r>
      <w:r>
        <w:t xml:space="preserve"> </w:t>
      </w:r>
      <w:r>
        <w:rPr>
          <w:b/>
          <w:bCs/>
        </w:rPr>
        <w:t>Ketua dan Sekretaris Jenderal</w:t>
      </w:r>
      <w:r>
        <w:t xml:space="preserve"> — bertanggung jawab atas koordinasi kegiatan dan pelaksanaan keputusan organisasi.</w:t>
      </w:r>
    </w:p>
    <w:p w14:paraId="12B16DB4">
      <w:pPr>
        <w:rPr>
          <w:b/>
          <w:bCs/>
        </w:rPr>
      </w:pPr>
      <w:r>
        <w:rPr>
          <w:b/>
          <w:bCs/>
        </w:rPr>
        <w:t>Komite Eksekutif Pertama (1987)</w:t>
      </w:r>
    </w:p>
    <w:p w14:paraId="3BCA4D36">
      <w:pPr>
        <w:numPr>
          <w:ilvl w:val="0"/>
          <w:numId w:val="15"/>
        </w:numPr>
      </w:pPr>
      <w:r>
        <w:t>Ketua: Dr. Wichit Srisa-an (STOU, Thailand)</w:t>
      </w:r>
    </w:p>
    <w:p w14:paraId="5B00DAA5">
      <w:pPr>
        <w:numPr>
          <w:ilvl w:val="0"/>
          <w:numId w:val="15"/>
        </w:numPr>
      </w:pPr>
      <w:r>
        <w:t>President-Elect: Prof. Hideo Katsuki (Jepang)</w:t>
      </w:r>
    </w:p>
    <w:p w14:paraId="4AD0D777">
      <w:pPr>
        <w:numPr>
          <w:ilvl w:val="0"/>
          <w:numId w:val="15"/>
        </w:numPr>
      </w:pPr>
      <w:r>
        <w:t>Sekretaris Jenderal: Dr. G. Ram Reddy (India)</w:t>
      </w:r>
    </w:p>
    <w:p w14:paraId="48E6BCCF">
      <w:pPr>
        <w:numPr>
          <w:ilvl w:val="0"/>
          <w:numId w:val="15"/>
        </w:numPr>
      </w:pPr>
      <w:r>
        <w:t>Anggota: Dr. Setijadi (Indonesia), Dr. Jung Chulin (Korea), Dr. Siddique Shibli (Pakistan), Dr. D.S. Wijeyesekera (Sri Lanka)</w:t>
      </w:r>
    </w:p>
    <w:p w14:paraId="56E61D1A">
      <w:r>
        <w:t>Komite ini merancang visi jangka panjang AAOU:</w:t>
      </w:r>
    </w:p>
    <w:p w14:paraId="54F7485C">
      <w:r>
        <w:t>“Mendorong kemajuan pendidikan terbuka di Asia melalui kolaborasi, penelitian, dan pertukaran keahlian.”</w:t>
      </w:r>
    </w:p>
    <w:p w14:paraId="2D9FCA10"/>
    <w:p w14:paraId="66179D14">
      <w:pPr>
        <w:rPr>
          <w:b/>
          <w:bCs/>
        </w:rPr>
      </w:pPr>
      <w:r>
        <w:rPr>
          <w:b/>
          <w:bCs/>
        </w:rPr>
        <w:t>10. Hasil dan Dampak Awal</w:t>
      </w:r>
    </w:p>
    <w:p w14:paraId="32F1FD3B">
      <w:r>
        <w:t>Dalam lima tahun pertama (1987–1992), AAOU berhasil:</w:t>
      </w:r>
    </w:p>
    <w:p w14:paraId="088C88AB">
      <w:pPr>
        <w:numPr>
          <w:ilvl w:val="0"/>
          <w:numId w:val="16"/>
        </w:numPr>
      </w:pPr>
      <w:r>
        <w:t>Menyelenggarakan konferensi tahunan di tujuh negara;</w:t>
      </w:r>
    </w:p>
    <w:p w14:paraId="1263BF7F">
      <w:pPr>
        <w:numPr>
          <w:ilvl w:val="0"/>
          <w:numId w:val="16"/>
        </w:numPr>
      </w:pPr>
      <w:r>
        <w:t>Membangun jaringan pertukaran staf akademik;</w:t>
      </w:r>
    </w:p>
    <w:p w14:paraId="17B62788">
      <w:pPr>
        <w:numPr>
          <w:ilvl w:val="0"/>
          <w:numId w:val="16"/>
        </w:numPr>
      </w:pPr>
      <w:r>
        <w:t xml:space="preserve">Memulai riset kolaboratif tentang </w:t>
      </w:r>
      <w:r>
        <w:rPr>
          <w:i/>
          <w:iCs/>
        </w:rPr>
        <w:t>Quality in Distance Education</w:t>
      </w:r>
      <w:r>
        <w:t>;</w:t>
      </w:r>
    </w:p>
    <w:p w14:paraId="42174F51">
      <w:pPr>
        <w:numPr>
          <w:ilvl w:val="0"/>
          <w:numId w:val="16"/>
        </w:numPr>
      </w:pPr>
      <w:r>
        <w:t>Menjadi mitra tetap UNESCO dalam pengembangan kebijakan ODL di Asia.</w:t>
      </w:r>
    </w:p>
    <w:p w14:paraId="134AB823">
      <w:r>
        <w:t>Periode awal ini menandai fondasi kuat bagi pertumbuhan dan reputasi AAOU di tingkat internasional.</w:t>
      </w:r>
    </w:p>
    <w:p w14:paraId="3486C4CC"/>
    <w:p w14:paraId="313894C9">
      <w:pPr>
        <w:rPr>
          <w:b/>
          <w:bCs/>
        </w:rPr>
      </w:pPr>
      <w:r>
        <w:rPr>
          <w:b/>
          <w:bCs/>
        </w:rPr>
        <w:t>BAB 3 — Program Inti dan Inisiatif Utama</w:t>
      </w:r>
    </w:p>
    <w:p w14:paraId="62B0B238">
      <w:r>
        <w:t>AAOU membangun sistem kerja yang kuat melalui serangkaian program dan inisiatif utama.</w:t>
      </w:r>
      <w:r>
        <w:br w:type="textWrapping"/>
      </w:r>
      <w:r>
        <w:t>Fokus utamanya adalah kolaborasi, inovasi, dan pengembangan kapasitas institusi anggota.</w:t>
      </w:r>
    </w:p>
    <w:p w14:paraId="2FB1E7F6"/>
    <w:p w14:paraId="571C8522">
      <w:pPr>
        <w:rPr>
          <w:b/>
          <w:bCs/>
        </w:rPr>
      </w:pPr>
      <w:r>
        <w:rPr>
          <w:b/>
          <w:bCs/>
        </w:rPr>
        <w:t>1. Konferensi Tahunan AAOU</w:t>
      </w:r>
    </w:p>
    <w:p w14:paraId="7C2C4F1A">
      <w:r>
        <w:t xml:space="preserve">Sejak 1987, </w:t>
      </w:r>
      <w:r>
        <w:rPr>
          <w:b/>
          <w:bCs/>
        </w:rPr>
        <w:t>Konferensi Tahunan AAOU (AAOU Annual Conference)</w:t>
      </w:r>
      <w:r>
        <w:t xml:space="preserve"> telah menjadi forum utama untuk berbagi pengetahuan, penelitian, dan praktik terbaik dalam pendidikan terbuka.</w:t>
      </w:r>
      <w:r>
        <w:br w:type="textWrapping"/>
      </w:r>
      <w:r>
        <w:t>Setiap konferensi diorganisir oleh universitas anggota secara bergiliran.</w:t>
      </w:r>
    </w:p>
    <w:p w14:paraId="4AE38BE9">
      <w:r>
        <w:t>Langkah-langkah penunjukan tuan rumah konferensi:</w:t>
      </w:r>
      <w:r>
        <w:br w:type="textWrapping"/>
      </w:r>
      <w:r>
        <w:t>1️</w:t>
      </w:r>
      <w:r>
        <w:rPr>
          <w:rFonts w:ascii="Segoe UI Symbol" w:hAnsi="Segoe UI Symbol" w:cs="Segoe UI Symbol"/>
        </w:rPr>
        <w:t>⃣</w:t>
      </w:r>
      <w:r>
        <w:t xml:space="preserve"> Pengajuan proposal dua tahun sebelum acara;</w:t>
      </w:r>
      <w:r>
        <w:br w:type="textWrapping"/>
      </w:r>
      <w:r>
        <w:t>2️</w:t>
      </w:r>
      <w:r>
        <w:rPr>
          <w:rFonts w:ascii="Segoe UI Symbol" w:hAnsi="Segoe UI Symbol" w:cs="Segoe UI Symbol"/>
        </w:rPr>
        <w:t>⃣</w:t>
      </w:r>
      <w:r>
        <w:t xml:space="preserve"> Evaluasi oleh Sekretariat dan Komite Eksekutif;</w:t>
      </w:r>
      <w:r>
        <w:br w:type="textWrapping"/>
      </w:r>
      <w:r>
        <w:t>3️</w:t>
      </w:r>
      <w:r>
        <w:rPr>
          <w:rFonts w:ascii="Segoe UI Symbol" w:hAnsi="Segoe UI Symbol" w:cs="Segoe UI Symbol"/>
        </w:rPr>
        <w:t>⃣</w:t>
      </w:r>
      <w:r>
        <w:t xml:space="preserve"> Pemilihan dan pengumuman pada konferensi sebelumnya.</w:t>
      </w:r>
    </w:p>
    <w:p w14:paraId="167B400A">
      <w:r>
        <w:t>Tema-tema konferensi mencakup isu terkini, seperti:</w:t>
      </w:r>
    </w:p>
    <w:p w14:paraId="115483AC">
      <w:pPr>
        <w:numPr>
          <w:ilvl w:val="0"/>
          <w:numId w:val="17"/>
        </w:numPr>
      </w:pPr>
      <w:r>
        <w:t>Inovasi dalam Pembelajaran Jarak Jauh;</w:t>
      </w:r>
    </w:p>
    <w:p w14:paraId="724C0E43">
      <w:pPr>
        <w:numPr>
          <w:ilvl w:val="0"/>
          <w:numId w:val="17"/>
        </w:numPr>
      </w:pPr>
      <w:r>
        <w:t>Penjaminan Mutu;</w:t>
      </w:r>
    </w:p>
    <w:p w14:paraId="6ACC03B1">
      <w:pPr>
        <w:numPr>
          <w:ilvl w:val="0"/>
          <w:numId w:val="17"/>
        </w:numPr>
      </w:pPr>
      <w:r>
        <w:t>Pendidikan Berkelanjutan;</w:t>
      </w:r>
    </w:p>
    <w:p w14:paraId="2FB6981C">
      <w:pPr>
        <w:numPr>
          <w:ilvl w:val="0"/>
          <w:numId w:val="17"/>
        </w:numPr>
      </w:pPr>
      <w:r>
        <w:t>Transformasi Digital dan Kecerdasan Buatan.</w:t>
      </w:r>
    </w:p>
    <w:p w14:paraId="0AF638ED"/>
    <w:p w14:paraId="22F28BE7">
      <w:pPr>
        <w:rPr>
          <w:b/>
          <w:bCs/>
        </w:rPr>
      </w:pPr>
      <w:r>
        <w:rPr>
          <w:b/>
          <w:bCs/>
        </w:rPr>
        <w:t>2. Penghargaan dan Pengakuan AAOU</w:t>
      </w:r>
    </w:p>
    <w:p w14:paraId="4DEDF269">
      <w:r>
        <w:t>Untuk menghormati kontribusi luar biasa terhadap pendidikan terbuka, AAOU menganugerahkan beberapa penghargaan:</w:t>
      </w:r>
    </w:p>
    <w:p w14:paraId="3C7989A6">
      <w:pPr>
        <w:numPr>
          <w:ilvl w:val="0"/>
          <w:numId w:val="18"/>
        </w:numPr>
      </w:pPr>
      <w:r>
        <w:rPr>
          <w:b/>
          <w:bCs/>
        </w:rPr>
        <w:t>Penghargaan Layanan Terpuji (Meritorious Service Award)</w:t>
      </w:r>
    </w:p>
    <w:p w14:paraId="1DA2878A">
      <w:pPr>
        <w:numPr>
          <w:ilvl w:val="0"/>
          <w:numId w:val="18"/>
        </w:numPr>
      </w:pPr>
      <w:r>
        <w:rPr>
          <w:b/>
          <w:bCs/>
        </w:rPr>
        <w:t>Penghargaan Makalah Terbaik (Best Paper Award)</w:t>
      </w:r>
    </w:p>
    <w:p w14:paraId="7F3671A0">
      <w:pPr>
        <w:numPr>
          <w:ilvl w:val="0"/>
          <w:numId w:val="18"/>
        </w:numPr>
      </w:pPr>
      <w:r>
        <w:rPr>
          <w:b/>
          <w:bCs/>
        </w:rPr>
        <w:t>Penghargaan Praktik Terbaik (Best Practice Award)</w:t>
      </w:r>
    </w:p>
    <w:p w14:paraId="66B205AD">
      <w:pPr>
        <w:numPr>
          <w:ilvl w:val="0"/>
          <w:numId w:val="18"/>
        </w:numPr>
      </w:pPr>
      <w:r>
        <w:rPr>
          <w:b/>
          <w:bCs/>
        </w:rPr>
        <w:t>Penghargaan Inovator Muda (Young Innovator Award)</w:t>
      </w:r>
    </w:p>
    <w:p w14:paraId="5690B61B"/>
    <w:p w14:paraId="08A7181B">
      <w:pPr>
        <w:rPr>
          <w:b/>
          <w:bCs/>
        </w:rPr>
      </w:pPr>
      <w:r>
        <w:rPr>
          <w:b/>
          <w:bCs/>
        </w:rPr>
        <w:t>Penghargaan Layanan Terpuji (Meritorious Service Award)</w:t>
      </w:r>
    </w:p>
    <w:p w14:paraId="0D5485AD">
      <w:r>
        <w:t>Penghargaan tertinggi AAOU, diberikan sejak 1997 kepada individu yang memberikan kontribusi besar dan berkelanjutan terhadap pengembangan pendidikan terbuka di Asia.</w:t>
      </w:r>
      <w:r>
        <w:br w:type="textWrapping"/>
      </w:r>
      <w:r>
        <w:t>Kriteria meliputi dampak terhadap kebijakan, inovasi pembelajaran, dan kontribusi terhadap AAOU.</w:t>
      </w:r>
    </w:p>
    <w:p w14:paraId="7E98E45B">
      <w:r>
        <w:t>Contoh penerima:</w:t>
      </w:r>
    </w:p>
    <w:p w14:paraId="4A7D8532">
      <w:pPr>
        <w:numPr>
          <w:ilvl w:val="0"/>
          <w:numId w:val="19"/>
        </w:numPr>
      </w:pPr>
      <w:r>
        <w:t>Prof. Wichit Srisa-an (Thailand)</w:t>
      </w:r>
    </w:p>
    <w:p w14:paraId="4C6BBF08">
      <w:pPr>
        <w:numPr>
          <w:ilvl w:val="0"/>
          <w:numId w:val="19"/>
        </w:numPr>
      </w:pPr>
      <w:r>
        <w:t>Prof. Setijadi (Indonesia)</w:t>
      </w:r>
    </w:p>
    <w:p w14:paraId="5C8C7703">
      <w:pPr>
        <w:numPr>
          <w:ilvl w:val="0"/>
          <w:numId w:val="19"/>
        </w:numPr>
      </w:pPr>
      <w:r>
        <w:t>Prof. Tam Sheung-Wai (Hong Kong)</w:t>
      </w:r>
    </w:p>
    <w:p w14:paraId="13BE9784">
      <w:pPr>
        <w:numPr>
          <w:ilvl w:val="0"/>
          <w:numId w:val="19"/>
        </w:numPr>
      </w:pPr>
      <w:r>
        <w:t>Prof. Tian Belawati (Indonesia)</w:t>
      </w:r>
    </w:p>
    <w:p w14:paraId="11C76C3C">
      <w:pPr>
        <w:numPr>
          <w:ilvl w:val="0"/>
          <w:numId w:val="19"/>
        </w:numPr>
      </w:pPr>
      <w:r>
        <w:t>Prof. Asha Kanwar (India / Commonwealth of Learning)</w:t>
      </w:r>
    </w:p>
    <w:p w14:paraId="2A900600"/>
    <w:p w14:paraId="7242FD6C">
      <w:pPr>
        <w:rPr>
          <w:b/>
          <w:bCs/>
        </w:rPr>
      </w:pPr>
      <w:r>
        <w:rPr>
          <w:b/>
          <w:bCs/>
        </w:rPr>
        <w:t>3. Publikasi dan Penelitian</w:t>
      </w:r>
    </w:p>
    <w:p w14:paraId="0F0106C2">
      <w:r>
        <w:t xml:space="preserve">AAOU menerbitkan jurnal ilmiah bereputasi internasional, </w:t>
      </w:r>
      <w:r>
        <w:rPr>
          <w:b/>
          <w:bCs/>
        </w:rPr>
        <w:t>AAOU Journal</w:t>
      </w:r>
      <w:r>
        <w:t>, yang dikelola bersama oleh Universitas Terbuka Indonesia dan Hong Kong Metropolitan University.</w:t>
      </w:r>
      <w:r>
        <w:br w:type="textWrapping"/>
      </w:r>
      <w:r>
        <w:t xml:space="preserve">Jurnal ini telah terindeks </w:t>
      </w:r>
      <w:r>
        <w:rPr>
          <w:b/>
          <w:bCs/>
        </w:rPr>
        <w:t>Scopus (Q1)</w:t>
      </w:r>
      <w:r>
        <w:t xml:space="preserve"> dan menjadi referensi utama dalam penelitian ODL di Asia.</w:t>
      </w:r>
    </w:p>
    <w:p w14:paraId="356CF0F5">
      <w:r>
        <w:t>Selain jurnal, AAOU juga menerbitkan buku seri, termasuk:</w:t>
      </w:r>
    </w:p>
    <w:p w14:paraId="2F64AE7D">
      <w:pPr>
        <w:numPr>
          <w:ilvl w:val="0"/>
          <w:numId w:val="20"/>
        </w:numPr>
      </w:pPr>
      <w:r>
        <w:rPr>
          <w:i/>
          <w:iCs/>
        </w:rPr>
        <w:t>Open and Distance Education in Asia: Good Practices from AAOU Members</w:t>
      </w:r>
    </w:p>
    <w:p w14:paraId="4486AFD3">
      <w:pPr>
        <w:numPr>
          <w:ilvl w:val="0"/>
          <w:numId w:val="20"/>
        </w:numPr>
      </w:pPr>
      <w:r>
        <w:rPr>
          <w:i/>
          <w:iCs/>
        </w:rPr>
        <w:t>MOOCs in Asian Higher Education</w:t>
      </w:r>
    </w:p>
    <w:p w14:paraId="7E141740"/>
    <w:p w14:paraId="63CCFE24">
      <w:pPr>
        <w:rPr>
          <w:b/>
          <w:bCs/>
        </w:rPr>
      </w:pPr>
      <w:r>
        <w:rPr>
          <w:b/>
          <w:bCs/>
        </w:rPr>
        <w:t>4. Program Penelitian Kolaboratif</w:t>
      </w:r>
    </w:p>
    <w:p w14:paraId="4A3E89B6">
      <w:r>
        <w:t>AAOU mendanai proyek riset lintas negara di antara universitas anggotanya, dengan fokus pada:</w:t>
      </w:r>
    </w:p>
    <w:p w14:paraId="5C35F4C4">
      <w:pPr>
        <w:numPr>
          <w:ilvl w:val="0"/>
          <w:numId w:val="21"/>
        </w:numPr>
      </w:pPr>
      <w:r>
        <w:t>Pembelajaran berbasis teknologi;</w:t>
      </w:r>
    </w:p>
    <w:p w14:paraId="1CFBE164">
      <w:pPr>
        <w:numPr>
          <w:ilvl w:val="0"/>
          <w:numId w:val="21"/>
        </w:numPr>
      </w:pPr>
      <w:r>
        <w:t>Pengembangan kurikulum digital;</w:t>
      </w:r>
    </w:p>
    <w:p w14:paraId="0602792C">
      <w:pPr>
        <w:numPr>
          <w:ilvl w:val="0"/>
          <w:numId w:val="21"/>
        </w:numPr>
      </w:pPr>
      <w:r>
        <w:t>Strategi pembelajaran adaptif;</w:t>
      </w:r>
    </w:p>
    <w:p w14:paraId="27EF372C">
      <w:pPr>
        <w:numPr>
          <w:ilvl w:val="0"/>
          <w:numId w:val="21"/>
        </w:numPr>
      </w:pPr>
      <w:r>
        <w:t>Pengukuran kualitas pembelajaran jarak jauh.</w:t>
      </w:r>
    </w:p>
    <w:p w14:paraId="1F245094">
      <w:r>
        <w:t xml:space="preserve">Setiap proyek dapat memperoleh dana hingga </w:t>
      </w:r>
      <w:r>
        <w:rPr>
          <w:b/>
          <w:bCs/>
        </w:rPr>
        <w:t>USD 5.000</w:t>
      </w:r>
      <w:r>
        <w:t>, dengan durasi penelitian satu tahun.</w:t>
      </w:r>
    </w:p>
    <w:p w14:paraId="4F33FD14"/>
    <w:p w14:paraId="1880D4C4">
      <w:pPr>
        <w:rPr>
          <w:b/>
          <w:bCs/>
        </w:rPr>
      </w:pPr>
      <w:r>
        <w:rPr>
          <w:b/>
          <w:bCs/>
        </w:rPr>
        <w:t>5. Program Pertukaran Staf (Staff Exchange Fellowship)</w:t>
      </w:r>
    </w:p>
    <w:p w14:paraId="216F1748">
      <w:r>
        <w:t>Diluncurkan tahun 1997 untuk memperkuat kolaborasi antar universitas anggota.</w:t>
      </w:r>
      <w:r>
        <w:br w:type="textWrapping"/>
      </w:r>
      <w:r>
        <w:t>Program ini memungkinkan dosen dan staf untuk:</w:t>
      </w:r>
    </w:p>
    <w:p w14:paraId="3DDCE1D9">
      <w:pPr>
        <w:numPr>
          <w:ilvl w:val="0"/>
          <w:numId w:val="22"/>
        </w:numPr>
      </w:pPr>
      <w:r>
        <w:t>Mengajar di universitas mitra;</w:t>
      </w:r>
    </w:p>
    <w:p w14:paraId="5DD1209D">
      <w:pPr>
        <w:numPr>
          <w:ilvl w:val="0"/>
          <w:numId w:val="22"/>
        </w:numPr>
      </w:pPr>
      <w:r>
        <w:t>Mengikuti pelatihan profesional;</w:t>
      </w:r>
    </w:p>
    <w:p w14:paraId="3ADD1E9F">
      <w:pPr>
        <w:numPr>
          <w:ilvl w:val="0"/>
          <w:numId w:val="22"/>
        </w:numPr>
      </w:pPr>
      <w:r>
        <w:t>Mengembangkan proyek penelitian bersama.</w:t>
      </w:r>
    </w:p>
    <w:p w14:paraId="4FEC8FB4">
      <w:r>
        <w:t>Durasi pertukaran maksimal satu bulan, didukung pendanaan dari AAOU dan universitas penerima.</w:t>
      </w:r>
    </w:p>
    <w:p w14:paraId="4151D358"/>
    <w:p w14:paraId="7B25A078">
      <w:pPr>
        <w:rPr>
          <w:b/>
          <w:bCs/>
        </w:rPr>
      </w:pPr>
      <w:r>
        <w:rPr>
          <w:b/>
          <w:bCs/>
        </w:rPr>
        <w:t>6. Sistem Penjaminan Mutu (Quality Assurance Framework)</w:t>
      </w:r>
    </w:p>
    <w:p w14:paraId="6D8A2310">
      <w:r>
        <w:t xml:space="preserve">AAOU mengembangkan </w:t>
      </w:r>
      <w:r>
        <w:rPr>
          <w:b/>
          <w:bCs/>
        </w:rPr>
        <w:t>Kerangka Penjaminan Mutu (Quality Assurance Framework)</w:t>
      </w:r>
      <w:r>
        <w:t xml:space="preserve"> sebagai panduan evaluasi internal bagi lembaga anggota.</w:t>
      </w:r>
      <w:r>
        <w:br w:type="textWrapping"/>
      </w:r>
      <w:r>
        <w:t>Kerangka ini mencakup 10 komponen utama dan 54 indikator rinci, mencakup kebijakan, infrastruktur, pengajaran, penelitian, dan dukungan mahasiswa.</w:t>
      </w:r>
    </w:p>
    <w:p w14:paraId="6770063C">
      <w:r>
        <w:t>Tujuan utamanya adalah membantu lembaga:</w:t>
      </w:r>
    </w:p>
    <w:p w14:paraId="4FAC1B84">
      <w:pPr>
        <w:numPr>
          <w:ilvl w:val="0"/>
          <w:numId w:val="23"/>
        </w:numPr>
      </w:pPr>
      <w:r>
        <w:t>Melakukan penilaian diri (self-evaluation);</w:t>
      </w:r>
    </w:p>
    <w:p w14:paraId="18A86A20">
      <w:pPr>
        <w:numPr>
          <w:ilvl w:val="0"/>
          <w:numId w:val="23"/>
        </w:numPr>
      </w:pPr>
      <w:r>
        <w:t>Mengidentifikasi area peningkatan kualitas;</w:t>
      </w:r>
    </w:p>
    <w:p w14:paraId="0FFC18EE">
      <w:pPr>
        <w:numPr>
          <w:ilvl w:val="0"/>
          <w:numId w:val="23"/>
        </w:numPr>
      </w:pPr>
      <w:r>
        <w:t>Membangun budaya mutu berkelanjutan.</w:t>
      </w:r>
    </w:p>
    <w:p w14:paraId="55552AFE"/>
    <w:p w14:paraId="3F5F2585">
      <w:pPr>
        <w:rPr>
          <w:b/>
          <w:bCs/>
        </w:rPr>
      </w:pPr>
      <w:r>
        <w:rPr>
          <w:b/>
          <w:bCs/>
        </w:rPr>
        <w:t>7. Akreditasi Berbasis Mutu (QA-Based Accreditation)</w:t>
      </w:r>
    </w:p>
    <w:p w14:paraId="402F3197">
      <w:r>
        <w:t>Diluncurkan resmi tahun 2024 di Konferensi AAOU Islamabad.</w:t>
      </w:r>
      <w:r>
        <w:br w:type="textWrapping"/>
      </w:r>
      <w:r>
        <w:t>Program ini menilai institusi berdasarkan 4 tingkat kinerja:</w:t>
      </w:r>
      <w:r>
        <w:br w:type="textWrapping"/>
      </w:r>
      <w:r>
        <w:t>1️</w:t>
      </w:r>
      <w:r>
        <w:rPr>
          <w:rFonts w:ascii="Segoe UI Symbol" w:hAnsi="Segoe UI Symbol" w:cs="Segoe UI Symbol"/>
        </w:rPr>
        <w:t>⃣</w:t>
      </w:r>
      <w:r>
        <w:t xml:space="preserve"> </w:t>
      </w:r>
      <w:r>
        <w:rPr>
          <w:b/>
          <w:bCs/>
        </w:rPr>
        <w:t>Perlu Peningkatan Substansial</w:t>
      </w:r>
      <w:r>
        <w:br w:type="textWrapping"/>
      </w:r>
      <w:r>
        <w:t>2️</w:t>
      </w:r>
      <w:r>
        <w:rPr>
          <w:rFonts w:ascii="Segoe UI Symbol" w:hAnsi="Segoe UI Symbol" w:cs="Segoe UI Symbol"/>
        </w:rPr>
        <w:t>⃣</w:t>
      </w:r>
      <w:r>
        <w:t xml:space="preserve"> </w:t>
      </w:r>
      <w:r>
        <w:rPr>
          <w:b/>
          <w:bCs/>
        </w:rPr>
        <w:t>Memenuhi Kriteria Dasar</w:t>
      </w:r>
      <w:r>
        <w:br w:type="textWrapping"/>
      </w:r>
      <w:r>
        <w:t>3️</w:t>
      </w:r>
      <w:r>
        <w:rPr>
          <w:rFonts w:ascii="Segoe UI Symbol" w:hAnsi="Segoe UI Symbol" w:cs="Segoe UI Symbol"/>
        </w:rPr>
        <w:t>⃣</w:t>
      </w:r>
      <w:r>
        <w:t xml:space="preserve"> </w:t>
      </w:r>
      <w:r>
        <w:rPr>
          <w:b/>
          <w:bCs/>
        </w:rPr>
        <w:t>Kinerja Baik</w:t>
      </w:r>
      <w:r>
        <w:br w:type="textWrapping"/>
      </w:r>
      <w:r>
        <w:t>4️</w:t>
      </w:r>
      <w:r>
        <w:rPr>
          <w:rFonts w:ascii="Segoe UI Symbol" w:hAnsi="Segoe UI Symbol" w:cs="Segoe UI Symbol"/>
        </w:rPr>
        <w:t>⃣</w:t>
      </w:r>
      <w:r>
        <w:t xml:space="preserve"> </w:t>
      </w:r>
      <w:r>
        <w:rPr>
          <w:b/>
          <w:bCs/>
        </w:rPr>
        <w:t>Kinerja Unggul</w:t>
      </w:r>
    </w:p>
    <w:p w14:paraId="6D8E3243">
      <w:r>
        <w:t>Program ini membantu lembaga anggota meningkatkan reputasi global dan kredibilitas akademik di tingkat internasional.</w:t>
      </w:r>
    </w:p>
    <w:p w14:paraId="032B2E54"/>
    <w:p w14:paraId="2A9CF4E7">
      <w:pPr>
        <w:rPr>
          <w:b/>
          <w:bCs/>
        </w:rPr>
      </w:pPr>
      <w:r>
        <w:rPr>
          <w:b/>
          <w:bCs/>
        </w:rPr>
        <w:t>8. Platform MOOCs Asia</w:t>
      </w:r>
    </w:p>
    <w:p w14:paraId="626C1816">
      <w:r>
        <w:rPr>
          <w:b/>
          <w:bCs/>
        </w:rPr>
        <w:t>Asian MOOCs Portal (</w:t>
      </w:r>
      <w:r>
        <w:fldChar w:fldCharType="begin"/>
      </w:r>
      <w:r>
        <w:instrText xml:space="preserve"> HYPERLINK "https://asianmoocs.org" \t "_new" </w:instrText>
      </w:r>
      <w:r>
        <w:fldChar w:fldCharType="separate"/>
      </w:r>
      <w:r>
        <w:rPr>
          <w:rStyle w:val="15"/>
          <w:b/>
          <w:bCs/>
        </w:rPr>
        <w:t>https://asianmoocs.org</w:t>
      </w:r>
      <w:r>
        <w:rPr>
          <w:rStyle w:val="15"/>
          <w:b/>
          <w:bCs/>
        </w:rPr>
        <w:fldChar w:fldCharType="end"/>
      </w:r>
      <w:r>
        <w:rPr>
          <w:b/>
          <w:bCs/>
        </w:rPr>
        <w:t>)</w:t>
      </w:r>
      <w:r>
        <w:t xml:space="preserve"> dikembangkan tahun 2018 oleh UPOU (Filipina) bersama UT, HKMU, dan OUC.</w:t>
      </w:r>
      <w:r>
        <w:br w:type="textWrapping"/>
      </w:r>
      <w:r>
        <w:t>Platform ini menyediakan kursus gratis lintas disiplin dan bahasa untuk mendorong pemerataan akses pendidikan.</w:t>
      </w:r>
    </w:p>
    <w:p w14:paraId="67E4F07C"/>
    <w:p w14:paraId="54EAC5D9">
      <w:pPr>
        <w:rPr>
          <w:b/>
          <w:bCs/>
        </w:rPr>
      </w:pPr>
      <w:r>
        <w:rPr>
          <w:b/>
          <w:bCs/>
        </w:rPr>
        <w:t>9. Dampak Program AAOU</w:t>
      </w:r>
    </w:p>
    <w:p w14:paraId="4DB4F8E3">
      <w:r>
        <w:t>Melalui seluruh inisiatifnya, AAOU telah:</w:t>
      </w:r>
    </w:p>
    <w:p w14:paraId="32BCFB40">
      <w:pPr>
        <w:numPr>
          <w:ilvl w:val="0"/>
          <w:numId w:val="24"/>
        </w:numPr>
      </w:pPr>
      <w:r>
        <w:t>Melatih lebih dari 3.000 pendidik dalam lima tahun terakhir;</w:t>
      </w:r>
    </w:p>
    <w:p w14:paraId="16FF977A">
      <w:pPr>
        <w:numPr>
          <w:ilvl w:val="0"/>
          <w:numId w:val="24"/>
        </w:numPr>
      </w:pPr>
      <w:r>
        <w:t>Meningkatkan kapasitas riset dan penjaminan mutu di 20 negara;</w:t>
      </w:r>
    </w:p>
    <w:p w14:paraId="6662D2E6">
      <w:pPr>
        <w:numPr>
          <w:ilvl w:val="0"/>
          <w:numId w:val="24"/>
        </w:numPr>
      </w:pPr>
      <w:r>
        <w:t>Mendorong lebih dari 100 publikasi ilmiah baru di bidang ODL.</w:t>
      </w:r>
    </w:p>
    <w:p w14:paraId="50AD7805">
      <w:pPr>
        <w:rPr>
          <w:b/>
          <w:bCs/>
        </w:rPr>
      </w:pPr>
      <w:r>
        <w:rPr>
          <w:b/>
          <w:bCs/>
        </w:rPr>
        <w:t>BAB 4 — Refleksi Misi dan Kontribusi AAOU</w:t>
      </w:r>
    </w:p>
    <w:p w14:paraId="29E236FA">
      <w:r>
        <w:t>Penulis: Enggar Mulyajati, Venty Febriana, Mohamad Rajih Radiansyah, &amp; Widya Rizky Pratiwi</w:t>
      </w:r>
    </w:p>
    <w:p w14:paraId="6663E285"/>
    <w:p w14:paraId="20F5F005">
      <w:pPr>
        <w:rPr>
          <w:b/>
          <w:bCs/>
        </w:rPr>
      </w:pPr>
      <w:r>
        <w:rPr>
          <w:b/>
          <w:bCs/>
        </w:rPr>
        <w:t>1. Tahapan Perkembangan AAOU</w:t>
      </w:r>
    </w:p>
    <w:p w14:paraId="1605B248">
      <w:r>
        <w:t>Sejak didirikan pada tahun 1987, Asosiasi Universitas Terbuka Asia (AAOU) telah mengalami empat tahap perkembangan utama yang menggambarkan perubahan peran dan fokusnya dalam pendidikan terbuka di Asia:</w:t>
      </w:r>
    </w:p>
    <w:tbl>
      <w:tblPr>
        <w:tblStyle w:val="13"/>
        <w:tblW w:w="0" w:type="auto"/>
        <w:tblCellSpacing w:w="15" w:type="dxa"/>
        <w:tblInd w:w="0" w:type="dxa"/>
        <w:tblLayout w:type="autofit"/>
        <w:tblCellMar>
          <w:top w:w="15" w:type="dxa"/>
          <w:left w:w="15" w:type="dxa"/>
          <w:bottom w:w="15" w:type="dxa"/>
          <w:right w:w="15" w:type="dxa"/>
        </w:tblCellMar>
      </w:tblPr>
      <w:tblGrid>
        <w:gridCol w:w="822"/>
        <w:gridCol w:w="1656"/>
        <w:gridCol w:w="2664"/>
        <w:gridCol w:w="3588"/>
      </w:tblGrid>
      <w:tr w14:paraId="6AA3E49D">
        <w:tblPrEx>
          <w:tblCellMar>
            <w:top w:w="15" w:type="dxa"/>
            <w:left w:w="15" w:type="dxa"/>
            <w:bottom w:w="15" w:type="dxa"/>
            <w:right w:w="15" w:type="dxa"/>
          </w:tblCellMar>
        </w:tblPrEx>
        <w:trPr>
          <w:tblHeader/>
          <w:tblCellSpacing w:w="15" w:type="dxa"/>
        </w:trPr>
        <w:tc>
          <w:tcPr>
            <w:tcW w:w="0" w:type="auto"/>
            <w:vAlign w:val="center"/>
          </w:tcPr>
          <w:p w14:paraId="73952C0D">
            <w:pPr>
              <w:rPr>
                <w:b/>
                <w:bCs/>
              </w:rPr>
            </w:pPr>
            <w:r>
              <w:rPr>
                <w:b/>
                <w:bCs/>
              </w:rPr>
              <w:t>Tahap</w:t>
            </w:r>
          </w:p>
        </w:tc>
        <w:tc>
          <w:tcPr>
            <w:tcW w:w="0" w:type="auto"/>
            <w:vAlign w:val="center"/>
          </w:tcPr>
          <w:p w14:paraId="3CC7DBE5">
            <w:pPr>
              <w:rPr>
                <w:b/>
                <w:bCs/>
              </w:rPr>
            </w:pPr>
            <w:r>
              <w:rPr>
                <w:b/>
                <w:bCs/>
              </w:rPr>
              <w:t>Periode</w:t>
            </w:r>
          </w:p>
        </w:tc>
        <w:tc>
          <w:tcPr>
            <w:tcW w:w="0" w:type="auto"/>
            <w:vAlign w:val="center"/>
          </w:tcPr>
          <w:p w14:paraId="5A4BACB1">
            <w:pPr>
              <w:rPr>
                <w:b/>
                <w:bCs/>
              </w:rPr>
            </w:pPr>
            <w:r>
              <w:rPr>
                <w:b/>
                <w:bCs/>
              </w:rPr>
              <w:t>Ciri Utama</w:t>
            </w:r>
          </w:p>
        </w:tc>
        <w:tc>
          <w:tcPr>
            <w:tcW w:w="0" w:type="auto"/>
            <w:vAlign w:val="center"/>
          </w:tcPr>
          <w:p w14:paraId="242CED9A">
            <w:pPr>
              <w:rPr>
                <w:b/>
                <w:bCs/>
              </w:rPr>
            </w:pPr>
            <w:r>
              <w:rPr>
                <w:b/>
                <w:bCs/>
              </w:rPr>
              <w:t>Pencapaian Penting</w:t>
            </w:r>
          </w:p>
        </w:tc>
      </w:tr>
      <w:tr w14:paraId="3BA8ABC0">
        <w:tblPrEx>
          <w:tblCellMar>
            <w:top w:w="15" w:type="dxa"/>
            <w:left w:w="15" w:type="dxa"/>
            <w:bottom w:w="15" w:type="dxa"/>
            <w:right w:w="15" w:type="dxa"/>
          </w:tblCellMar>
        </w:tblPrEx>
        <w:trPr>
          <w:tblCellSpacing w:w="15" w:type="dxa"/>
        </w:trPr>
        <w:tc>
          <w:tcPr>
            <w:tcW w:w="0" w:type="auto"/>
            <w:vAlign w:val="center"/>
          </w:tcPr>
          <w:p w14:paraId="2C8659AA">
            <w:r>
              <w:t>I</w:t>
            </w:r>
          </w:p>
        </w:tc>
        <w:tc>
          <w:tcPr>
            <w:tcW w:w="0" w:type="auto"/>
            <w:vAlign w:val="center"/>
          </w:tcPr>
          <w:p w14:paraId="392AA78C">
            <w:r>
              <w:t>1987–1998</w:t>
            </w:r>
          </w:p>
        </w:tc>
        <w:tc>
          <w:tcPr>
            <w:tcW w:w="0" w:type="auto"/>
            <w:vAlign w:val="center"/>
          </w:tcPr>
          <w:p w14:paraId="346A8911">
            <w:r>
              <w:t>Fondasi dan Institusionalisasi</w:t>
            </w:r>
          </w:p>
        </w:tc>
        <w:tc>
          <w:tcPr>
            <w:tcW w:w="0" w:type="auto"/>
            <w:vAlign w:val="center"/>
          </w:tcPr>
          <w:p w14:paraId="76191788">
            <w:r>
              <w:t>Pembentukan struktur organisasi dan sistem keanggotaan</w:t>
            </w:r>
          </w:p>
        </w:tc>
      </w:tr>
      <w:tr w14:paraId="3C7E0237">
        <w:tblPrEx>
          <w:tblCellMar>
            <w:top w:w="15" w:type="dxa"/>
            <w:left w:w="15" w:type="dxa"/>
            <w:bottom w:w="15" w:type="dxa"/>
            <w:right w:w="15" w:type="dxa"/>
          </w:tblCellMar>
        </w:tblPrEx>
        <w:trPr>
          <w:tblCellSpacing w:w="15" w:type="dxa"/>
        </w:trPr>
        <w:tc>
          <w:tcPr>
            <w:tcW w:w="0" w:type="auto"/>
            <w:vAlign w:val="center"/>
          </w:tcPr>
          <w:p w14:paraId="50D1BB97">
            <w:r>
              <w:t>II</w:t>
            </w:r>
          </w:p>
        </w:tc>
        <w:tc>
          <w:tcPr>
            <w:tcW w:w="0" w:type="auto"/>
            <w:vAlign w:val="center"/>
          </w:tcPr>
          <w:p w14:paraId="19167DB4">
            <w:r>
              <w:t>1999–2010</w:t>
            </w:r>
          </w:p>
        </w:tc>
        <w:tc>
          <w:tcPr>
            <w:tcW w:w="0" w:type="auto"/>
            <w:vAlign w:val="center"/>
          </w:tcPr>
          <w:p w14:paraId="0EE120CF">
            <w:r>
              <w:t>Pertumbuhan dan Konsolidasi</w:t>
            </w:r>
          </w:p>
        </w:tc>
        <w:tc>
          <w:tcPr>
            <w:tcW w:w="0" w:type="auto"/>
            <w:vAlign w:val="center"/>
          </w:tcPr>
          <w:p w14:paraId="6DB46470">
            <w:r>
              <w:t>Ekspansi jaringan, proyek riset kolaboratif pertama</w:t>
            </w:r>
          </w:p>
        </w:tc>
      </w:tr>
      <w:tr w14:paraId="5AB7F0C2">
        <w:tblPrEx>
          <w:tblCellMar>
            <w:top w:w="15" w:type="dxa"/>
            <w:left w:w="15" w:type="dxa"/>
            <w:bottom w:w="15" w:type="dxa"/>
            <w:right w:w="15" w:type="dxa"/>
          </w:tblCellMar>
        </w:tblPrEx>
        <w:trPr>
          <w:tblCellSpacing w:w="15" w:type="dxa"/>
        </w:trPr>
        <w:tc>
          <w:tcPr>
            <w:tcW w:w="0" w:type="auto"/>
            <w:vAlign w:val="center"/>
          </w:tcPr>
          <w:p w14:paraId="4927D69D">
            <w:r>
              <w:t>III</w:t>
            </w:r>
          </w:p>
        </w:tc>
        <w:tc>
          <w:tcPr>
            <w:tcW w:w="0" w:type="auto"/>
            <w:vAlign w:val="center"/>
          </w:tcPr>
          <w:p w14:paraId="18612EB0">
            <w:r>
              <w:t>2011–2019</w:t>
            </w:r>
          </w:p>
        </w:tc>
        <w:tc>
          <w:tcPr>
            <w:tcW w:w="0" w:type="auto"/>
            <w:vAlign w:val="center"/>
          </w:tcPr>
          <w:p w14:paraId="6348CDC2">
            <w:r>
              <w:t>Digitalisasi dan Penjaminan Mutu</w:t>
            </w:r>
          </w:p>
        </w:tc>
        <w:tc>
          <w:tcPr>
            <w:tcW w:w="0" w:type="auto"/>
            <w:vAlign w:val="center"/>
          </w:tcPr>
          <w:p w14:paraId="7B0A71AD">
            <w:r>
              <w:t>Penerbitan AAOU Journal, kerangka mutu regional</w:t>
            </w:r>
          </w:p>
        </w:tc>
      </w:tr>
      <w:tr w14:paraId="2C3E6E03">
        <w:tblPrEx>
          <w:tblCellMar>
            <w:top w:w="15" w:type="dxa"/>
            <w:left w:w="15" w:type="dxa"/>
            <w:bottom w:w="15" w:type="dxa"/>
            <w:right w:w="15" w:type="dxa"/>
          </w:tblCellMar>
        </w:tblPrEx>
        <w:trPr>
          <w:tblCellSpacing w:w="15" w:type="dxa"/>
        </w:trPr>
        <w:tc>
          <w:tcPr>
            <w:tcW w:w="0" w:type="auto"/>
            <w:vAlign w:val="center"/>
          </w:tcPr>
          <w:p w14:paraId="5D9C2681">
            <w:r>
              <w:t>IV</w:t>
            </w:r>
          </w:p>
        </w:tc>
        <w:tc>
          <w:tcPr>
            <w:tcW w:w="0" w:type="auto"/>
            <w:vAlign w:val="center"/>
          </w:tcPr>
          <w:p w14:paraId="4A7E0F82">
            <w:r>
              <w:t>2020–2025</w:t>
            </w:r>
          </w:p>
        </w:tc>
        <w:tc>
          <w:tcPr>
            <w:tcW w:w="0" w:type="auto"/>
            <w:vAlign w:val="center"/>
          </w:tcPr>
          <w:p w14:paraId="6125D69A">
            <w:r>
              <w:t>Transformasi dan Globalisasi</w:t>
            </w:r>
          </w:p>
        </w:tc>
        <w:tc>
          <w:tcPr>
            <w:tcW w:w="0" w:type="auto"/>
            <w:vAlign w:val="center"/>
          </w:tcPr>
          <w:p w14:paraId="03A6ACC3">
            <w:r>
              <w:t>Akreditasi berbasis mutu, pembelajaran digital pasca-pandemi</w:t>
            </w:r>
          </w:p>
        </w:tc>
      </w:tr>
    </w:tbl>
    <w:p w14:paraId="720F3344"/>
    <w:p w14:paraId="4C2EB129">
      <w:pPr>
        <w:rPr>
          <w:b/>
          <w:bCs/>
        </w:rPr>
      </w:pPr>
      <w:r>
        <w:rPr>
          <w:b/>
          <w:bCs/>
        </w:rPr>
        <w:t>2. Tahap I (1987–1998): Fondasi dan Institusionalisasi</w:t>
      </w:r>
    </w:p>
    <w:p w14:paraId="364F5CAB">
      <w:r>
        <w:t>Pada fase awal, AAOU fokus membangun dasar organisasi dan memperluas keanggotaan.</w:t>
      </w:r>
      <w:r>
        <w:br w:type="textWrapping"/>
      </w:r>
      <w:r>
        <w:t>Konferensi tahunan di berbagai negara (Jepang, Korea, Pakistan, Sri Lanka, Indonesia) memperkuat kepercayaan antar anggota dan mempopulerkan model pendidikan jarak jauh.</w:t>
      </w:r>
    </w:p>
    <w:p w14:paraId="1DA2DFBE">
      <w:r>
        <w:t>Topik utama konferensi awal meliputi:</w:t>
      </w:r>
    </w:p>
    <w:p w14:paraId="0C6E4AC7">
      <w:pPr>
        <w:numPr>
          <w:ilvl w:val="0"/>
          <w:numId w:val="25"/>
        </w:numPr>
      </w:pPr>
      <w:r>
        <w:t>Desain instruksional untuk ODL;</w:t>
      </w:r>
    </w:p>
    <w:p w14:paraId="7E376418">
      <w:pPr>
        <w:numPr>
          <w:ilvl w:val="0"/>
          <w:numId w:val="25"/>
        </w:numPr>
      </w:pPr>
      <w:r>
        <w:t>Pelatihan tenaga pengajar;</w:t>
      </w:r>
    </w:p>
    <w:p w14:paraId="2E07E894">
      <w:pPr>
        <w:numPr>
          <w:ilvl w:val="0"/>
          <w:numId w:val="25"/>
        </w:numPr>
      </w:pPr>
      <w:r>
        <w:t>Penggunaan televisi dan radio pendidikan;</w:t>
      </w:r>
    </w:p>
    <w:p w14:paraId="007232FC">
      <w:pPr>
        <w:numPr>
          <w:ilvl w:val="0"/>
          <w:numId w:val="25"/>
        </w:numPr>
      </w:pPr>
      <w:r>
        <w:t>Pemerataan pendidikan di pedesaan.</w:t>
      </w:r>
    </w:p>
    <w:p w14:paraId="381AB062">
      <w:r>
        <w:t xml:space="preserve">Periode ini juga menandai kerja sama pertama AAOU dengan </w:t>
      </w:r>
      <w:r>
        <w:rPr>
          <w:b/>
          <w:bCs/>
        </w:rPr>
        <w:t>UNESCO</w:t>
      </w:r>
      <w:r>
        <w:t xml:space="preserve">, </w:t>
      </w:r>
      <w:r>
        <w:rPr>
          <w:b/>
          <w:bCs/>
        </w:rPr>
        <w:t>ICDE</w:t>
      </w:r>
      <w:r>
        <w:t xml:space="preserve">, dan </w:t>
      </w:r>
      <w:r>
        <w:rPr>
          <w:b/>
          <w:bCs/>
        </w:rPr>
        <w:t>Commonwealth of Learning (COL)</w:t>
      </w:r>
      <w:r>
        <w:t>.</w:t>
      </w:r>
      <w:r>
        <w:br w:type="textWrapping"/>
      </w:r>
      <w:r>
        <w:t>AAOU mulai dikenal secara internasional sebagai representasi Asia di bidang pendidikan terbuka.</w:t>
      </w:r>
    </w:p>
    <w:p w14:paraId="72ED7A57"/>
    <w:p w14:paraId="1B7B3FA3">
      <w:pPr>
        <w:rPr>
          <w:b/>
          <w:bCs/>
        </w:rPr>
      </w:pPr>
      <w:r>
        <w:rPr>
          <w:b/>
          <w:bCs/>
        </w:rPr>
        <w:t>3. Tahap II (1999–2010): Pertumbuhan dan Konsolidasi</w:t>
      </w:r>
    </w:p>
    <w:p w14:paraId="62451692">
      <w:r>
        <w:t>Pada masa ini, jumlah anggota meningkat menjadi lebih dari 30 universitas di seluruh Asia.</w:t>
      </w:r>
      <w:r>
        <w:br w:type="textWrapping"/>
      </w:r>
      <w:r>
        <w:t>AAOU menginisiasi program riset lintas negara, seperti:</w:t>
      </w:r>
    </w:p>
    <w:p w14:paraId="0F7FCE63">
      <w:pPr>
        <w:numPr>
          <w:ilvl w:val="0"/>
          <w:numId w:val="26"/>
        </w:numPr>
      </w:pPr>
      <w:r>
        <w:rPr>
          <w:i/>
          <w:iCs/>
        </w:rPr>
        <w:t>Social Impact of Distance Education</w:t>
      </w:r>
    </w:p>
    <w:p w14:paraId="351D5C4B">
      <w:pPr>
        <w:numPr>
          <w:ilvl w:val="0"/>
          <w:numId w:val="26"/>
        </w:numPr>
      </w:pPr>
      <w:r>
        <w:rPr>
          <w:i/>
          <w:iCs/>
        </w:rPr>
        <w:t>Technology for Rural Learning Access</w:t>
      </w:r>
    </w:p>
    <w:p w14:paraId="426A8928">
      <w:r>
        <w:t xml:space="preserve">AAOU juga memperkenalkan </w:t>
      </w:r>
      <w:r>
        <w:rPr>
          <w:b/>
          <w:bCs/>
        </w:rPr>
        <w:t>Meritorious Service Award</w:t>
      </w:r>
      <w:r>
        <w:t xml:space="preserve"> dan </w:t>
      </w:r>
      <w:r>
        <w:rPr>
          <w:b/>
          <w:bCs/>
        </w:rPr>
        <w:t>Best Paper Award</w:t>
      </w:r>
      <w:r>
        <w:t>, memperkuat budaya akademik dan pengakuan profesional di kalangan pendidik ODL.</w:t>
      </w:r>
      <w:r>
        <w:br w:type="textWrapping"/>
      </w:r>
      <w:r>
        <w:t xml:space="preserve">Pada tahun 2005, AAOU meluncurkan </w:t>
      </w:r>
      <w:r>
        <w:rPr>
          <w:i/>
          <w:iCs/>
        </w:rPr>
        <w:t>Collaborative Research Program</w:t>
      </w:r>
      <w:r>
        <w:t xml:space="preserve"> pertama yang menghasilkan laporan kebijakan pendidikan terbuka di Asia.</w:t>
      </w:r>
    </w:p>
    <w:p w14:paraId="0C1C8A31"/>
    <w:p w14:paraId="3DEE384B">
      <w:pPr>
        <w:rPr>
          <w:b/>
          <w:bCs/>
        </w:rPr>
      </w:pPr>
      <w:r>
        <w:rPr>
          <w:b/>
          <w:bCs/>
        </w:rPr>
        <w:t>4. Tahap III (2011–2019): Digitalisasi dan Penjaminan Mutu</w:t>
      </w:r>
    </w:p>
    <w:p w14:paraId="76F25B73">
      <w:r>
        <w:t>Dengan kemajuan teknologi informasi, AAOU memimpin transformasi digital di lembaga-lembaga anggotanya.</w:t>
      </w:r>
    </w:p>
    <w:p w14:paraId="4AAB528C">
      <w:r>
        <w:rPr>
          <w:b/>
          <w:bCs/>
        </w:rPr>
        <w:t>Pencapaian utama:</w:t>
      </w:r>
    </w:p>
    <w:p w14:paraId="298AA3CC">
      <w:pPr>
        <w:numPr>
          <w:ilvl w:val="0"/>
          <w:numId w:val="27"/>
        </w:numPr>
      </w:pPr>
      <w:r>
        <w:t xml:space="preserve">2011: Penerbitan </w:t>
      </w:r>
      <w:r>
        <w:rPr>
          <w:i/>
          <w:iCs/>
        </w:rPr>
        <w:t>AAOU Journal</w:t>
      </w:r>
      <w:r>
        <w:t xml:space="preserve"> — jurnal ilmiah internasional yang kini berindeks Scopus (Q1).</w:t>
      </w:r>
    </w:p>
    <w:p w14:paraId="46BA81E8">
      <w:pPr>
        <w:numPr>
          <w:ilvl w:val="0"/>
          <w:numId w:val="27"/>
        </w:numPr>
      </w:pPr>
      <w:r>
        <w:t xml:space="preserve">2015: Pembentukan </w:t>
      </w:r>
      <w:r>
        <w:rPr>
          <w:i/>
          <w:iCs/>
        </w:rPr>
        <w:t>Quality Assurance Task Force</w:t>
      </w:r>
      <w:r>
        <w:t>.</w:t>
      </w:r>
    </w:p>
    <w:p w14:paraId="7C166EFB">
      <w:pPr>
        <w:numPr>
          <w:ilvl w:val="0"/>
          <w:numId w:val="27"/>
        </w:numPr>
      </w:pPr>
      <w:r>
        <w:t xml:space="preserve">2019: Peluncuran resmi </w:t>
      </w:r>
      <w:r>
        <w:rPr>
          <w:i/>
          <w:iCs/>
        </w:rPr>
        <w:t>AAOU Quality Assurance Framework</w:t>
      </w:r>
      <w:r>
        <w:t xml:space="preserve"> — acuan penjaminan mutu pendidikan jarak jauh di Asia.</w:t>
      </w:r>
    </w:p>
    <w:p w14:paraId="03AC7AE3">
      <w:r>
        <w:t>AAOU juga memfasilitasi penyusunan pedoman evaluasi mutu nasional di Indonesia, Malaysia, dan Filipina.</w:t>
      </w:r>
      <w:r>
        <w:br w:type="textWrapping"/>
      </w:r>
      <w:r>
        <w:t>Teknologi pembelajaran daring dan MOOC mulai diperkenalkan sebagai standar baru.</w:t>
      </w:r>
    </w:p>
    <w:p w14:paraId="0AF318EE"/>
    <w:p w14:paraId="2B101A5C">
      <w:pPr>
        <w:rPr>
          <w:b/>
          <w:bCs/>
        </w:rPr>
      </w:pPr>
      <w:r>
        <w:rPr>
          <w:b/>
          <w:bCs/>
        </w:rPr>
        <w:t>5. Tahap IV (2020–2025): Transformasi dan Globalisasi</w:t>
      </w:r>
    </w:p>
    <w:p w14:paraId="23D0023B">
      <w:r>
        <w:t>Pandemi COVID-19 menjadi momentum penting dalam sejarah AAOU.</w:t>
      </w:r>
      <w:r>
        <w:br w:type="textWrapping"/>
      </w:r>
      <w:r>
        <w:t xml:space="preserve">Organisasi ini segera beradaptasi dengan mengadakan </w:t>
      </w:r>
      <w:r>
        <w:rPr>
          <w:b/>
          <w:bCs/>
        </w:rPr>
        <w:t>AAOU Webinar Series</w:t>
      </w:r>
      <w:r>
        <w:t xml:space="preserve"> dan meluncurkan </w:t>
      </w:r>
      <w:r>
        <w:rPr>
          <w:i/>
          <w:iCs/>
        </w:rPr>
        <w:t>Open Education Repository</w:t>
      </w:r>
      <w:r>
        <w:t xml:space="preserve"> untuk mendukung digitalisasi pendidikan di negara anggota.</w:t>
      </w:r>
    </w:p>
    <w:p w14:paraId="7DF25DDB">
      <w:r>
        <w:t>Inovasi kunci pada periode ini:</w:t>
      </w:r>
    </w:p>
    <w:p w14:paraId="5607A540">
      <w:pPr>
        <w:numPr>
          <w:ilvl w:val="0"/>
          <w:numId w:val="28"/>
        </w:numPr>
      </w:pPr>
      <w:r>
        <w:rPr>
          <w:b/>
          <w:bCs/>
        </w:rPr>
        <w:t>AAOU Hybrid Conference</w:t>
      </w:r>
      <w:r>
        <w:t xml:space="preserve"> (OUSL, 2021) — konferensi tahunan pertama yang diselenggarakan dalam format hibrida.</w:t>
      </w:r>
    </w:p>
    <w:p w14:paraId="7E5B6A7A">
      <w:pPr>
        <w:numPr>
          <w:ilvl w:val="0"/>
          <w:numId w:val="28"/>
        </w:numPr>
      </w:pPr>
      <w:r>
        <w:rPr>
          <w:b/>
          <w:bCs/>
        </w:rPr>
        <w:t>AAOU Accreditation Service</w:t>
      </w:r>
      <w:r>
        <w:t xml:space="preserve"> (2024) — sistem akreditasi berbasis mutu pertama untuk universitas terbuka di Asia.</w:t>
      </w:r>
    </w:p>
    <w:p w14:paraId="1410CF8C">
      <w:pPr>
        <w:numPr>
          <w:ilvl w:val="0"/>
          <w:numId w:val="28"/>
        </w:numPr>
      </w:pPr>
      <w:r>
        <w:rPr>
          <w:b/>
          <w:bCs/>
        </w:rPr>
        <w:t>AAOU for All Initiative</w:t>
      </w:r>
      <w:r>
        <w:t xml:space="preserve"> — program beasiswa dan pelatihan untuk mendukung pemerataan akses pendidikan.</w:t>
      </w:r>
    </w:p>
    <w:p w14:paraId="63F6DFD6">
      <w:r>
        <w:t xml:space="preserve">Kerja sama internasional juga semakin luas dengan organisasi seperti </w:t>
      </w:r>
      <w:r>
        <w:rPr>
          <w:b/>
          <w:bCs/>
        </w:rPr>
        <w:t>EADTU (Eropa)</w:t>
      </w:r>
      <w:r>
        <w:t xml:space="preserve">, </w:t>
      </w:r>
      <w:r>
        <w:rPr>
          <w:b/>
          <w:bCs/>
        </w:rPr>
        <w:t>ACDE (Afrika)</w:t>
      </w:r>
      <w:r>
        <w:t xml:space="preserve">, dan </w:t>
      </w:r>
      <w:r>
        <w:rPr>
          <w:b/>
          <w:bCs/>
        </w:rPr>
        <w:t>CREAD (Amerika Latin)</w:t>
      </w:r>
      <w:r>
        <w:t>.</w:t>
      </w:r>
    </w:p>
    <w:p w14:paraId="10F5F481"/>
    <w:p w14:paraId="46B1B195">
      <w:pPr>
        <w:rPr>
          <w:b/>
          <w:bCs/>
        </w:rPr>
      </w:pPr>
      <w:r>
        <w:rPr>
          <w:b/>
          <w:bCs/>
        </w:rPr>
        <w:t>6. Kontribusi AAOU terhadap Pendidikan Regional</w:t>
      </w:r>
    </w:p>
    <w:p w14:paraId="29F68E3A">
      <w:r>
        <w:t>AAOU memberikan dampak signifikan dalam lima bidang utama:</w:t>
      </w:r>
    </w:p>
    <w:p w14:paraId="72BB0C87">
      <w:r>
        <w:t>1️</w:t>
      </w:r>
      <w:r>
        <w:rPr>
          <w:rFonts w:ascii="Segoe UI Symbol" w:hAnsi="Segoe UI Symbol" w:cs="Segoe UI Symbol"/>
        </w:rPr>
        <w:t>⃣</w:t>
      </w:r>
      <w:r>
        <w:t xml:space="preserve"> </w:t>
      </w:r>
      <w:r>
        <w:rPr>
          <w:b/>
          <w:bCs/>
        </w:rPr>
        <w:t>Akses dan Inklusivitas</w:t>
      </w:r>
      <w:r>
        <w:br w:type="textWrapping"/>
      </w:r>
      <w:r>
        <w:t>Pendidikan terbuka menjangkau jutaan pelajar di seluruh Asia, terutama di daerah pedesaan dan terpencil.</w:t>
      </w:r>
      <w:r>
        <w:br w:type="textWrapping"/>
      </w:r>
      <w:r>
        <w:t>Model universitas terbuka menjadi solusi untuk pemerataan kesempatan belajar.</w:t>
      </w:r>
    </w:p>
    <w:p w14:paraId="0CDC7F7F">
      <w:r>
        <w:t>2️</w:t>
      </w:r>
      <w:r>
        <w:rPr>
          <w:rFonts w:ascii="Segoe UI Symbol" w:hAnsi="Segoe UI Symbol" w:cs="Segoe UI Symbol"/>
        </w:rPr>
        <w:t>⃣</w:t>
      </w:r>
      <w:r>
        <w:t xml:space="preserve"> </w:t>
      </w:r>
      <w:r>
        <w:rPr>
          <w:b/>
          <w:bCs/>
        </w:rPr>
        <w:t>Kualitas dan Standar Pendidikan</w:t>
      </w:r>
      <w:r>
        <w:br w:type="textWrapping"/>
      </w:r>
      <w:r>
        <w:t>Melalui QA Framework dan akreditasi, AAOU membantu lembaga meningkatkan standar akademik dan transparansi pengelolaan.</w:t>
      </w:r>
    </w:p>
    <w:p w14:paraId="0213E6B5">
      <w:r>
        <w:t>3️</w:t>
      </w:r>
      <w:r>
        <w:rPr>
          <w:rFonts w:ascii="Segoe UI Symbol" w:hAnsi="Segoe UI Symbol" w:cs="Segoe UI Symbol"/>
        </w:rPr>
        <w:t>⃣</w:t>
      </w:r>
      <w:r>
        <w:t xml:space="preserve"> </w:t>
      </w:r>
      <w:r>
        <w:rPr>
          <w:b/>
          <w:bCs/>
        </w:rPr>
        <w:t>Inovasi Teknologi</w:t>
      </w:r>
      <w:r>
        <w:br w:type="textWrapping"/>
      </w:r>
      <w:r>
        <w:t>AAOU mempromosikan integrasi AI, analisis pembelajaran, dan platform digital dalam pengajaran.</w:t>
      </w:r>
    </w:p>
    <w:p w14:paraId="508670BD">
      <w:r>
        <w:t>4️</w:t>
      </w:r>
      <w:r>
        <w:rPr>
          <w:rFonts w:ascii="Segoe UI Symbol" w:hAnsi="Segoe UI Symbol" w:cs="Segoe UI Symbol"/>
        </w:rPr>
        <w:t>⃣</w:t>
      </w:r>
      <w:r>
        <w:t xml:space="preserve"> </w:t>
      </w:r>
      <w:r>
        <w:rPr>
          <w:b/>
          <w:bCs/>
        </w:rPr>
        <w:t>Penelitian dan Kolaborasi</w:t>
      </w:r>
      <w:r>
        <w:br w:type="textWrapping"/>
      </w:r>
      <w:r>
        <w:t>Lebih dari 80 proyek riset kolaboratif lintas negara telah didanai AAOU sejak 2005.</w:t>
      </w:r>
    </w:p>
    <w:p w14:paraId="509FEB56">
      <w:r>
        <w:t>5️</w:t>
      </w:r>
      <w:r>
        <w:rPr>
          <w:rFonts w:ascii="Segoe UI Symbol" w:hAnsi="Segoe UI Symbol" w:cs="Segoe UI Symbol"/>
        </w:rPr>
        <w:t>⃣</w:t>
      </w:r>
      <w:r>
        <w:t xml:space="preserve"> </w:t>
      </w:r>
      <w:r>
        <w:rPr>
          <w:b/>
          <w:bCs/>
        </w:rPr>
        <w:t>Diplomasi Pendidikan Internasional</w:t>
      </w:r>
      <w:r>
        <w:br w:type="textWrapping"/>
      </w:r>
      <w:r>
        <w:t xml:space="preserve">AAOU menjadi mitra resmi UNESCO dan berpartisipasi dalam forum global seperti </w:t>
      </w:r>
      <w:r>
        <w:rPr>
          <w:i/>
          <w:iCs/>
        </w:rPr>
        <w:t>World Education Forum</w:t>
      </w:r>
      <w:r>
        <w:t xml:space="preserve"> dan </w:t>
      </w:r>
      <w:r>
        <w:rPr>
          <w:i/>
          <w:iCs/>
        </w:rPr>
        <w:t>ICDE World Conference</w:t>
      </w:r>
      <w:r>
        <w:t>.</w:t>
      </w:r>
    </w:p>
    <w:p w14:paraId="22142992"/>
    <w:p w14:paraId="7A8B8C05">
      <w:pPr>
        <w:rPr>
          <w:b/>
          <w:bCs/>
        </w:rPr>
      </w:pPr>
      <w:r>
        <w:rPr>
          <w:b/>
          <w:bCs/>
        </w:rPr>
        <w:t>7. Dampak Sosial AAOU</w:t>
      </w:r>
    </w:p>
    <w:p w14:paraId="56878EAE">
      <w:r>
        <w:t>AAOU memperkuat ekosistem pendidikan terbuka yang mendukung:</w:t>
      </w:r>
    </w:p>
    <w:p w14:paraId="29799496">
      <w:pPr>
        <w:numPr>
          <w:ilvl w:val="0"/>
          <w:numId w:val="29"/>
        </w:numPr>
      </w:pPr>
      <w:r>
        <w:t>Peningkatan literasi dan keterampilan tenaga kerja;</w:t>
      </w:r>
    </w:p>
    <w:p w14:paraId="3845FD22">
      <w:pPr>
        <w:numPr>
          <w:ilvl w:val="0"/>
          <w:numId w:val="29"/>
        </w:numPr>
      </w:pPr>
      <w:r>
        <w:t>Pemberdayaan perempuan melalui pendidikan jarak jauh;</w:t>
      </w:r>
    </w:p>
    <w:p w14:paraId="700CD57E">
      <w:pPr>
        <w:numPr>
          <w:ilvl w:val="0"/>
          <w:numId w:val="29"/>
        </w:numPr>
      </w:pPr>
      <w:r>
        <w:t>Peningkatan mobilitas akademik dan profesional;</w:t>
      </w:r>
    </w:p>
    <w:p w14:paraId="3767424D">
      <w:pPr>
        <w:numPr>
          <w:ilvl w:val="0"/>
          <w:numId w:val="29"/>
        </w:numPr>
      </w:pPr>
      <w:r>
        <w:t>Pengurangan kesenjangan sosial dan geografis dalam pendidikan tinggi.</w:t>
      </w:r>
    </w:p>
    <w:p w14:paraId="0F6763CF"/>
    <w:p w14:paraId="0C6CBBE4">
      <w:pPr>
        <w:rPr>
          <w:b/>
          <w:bCs/>
        </w:rPr>
      </w:pPr>
      <w:r>
        <w:rPr>
          <w:b/>
          <w:bCs/>
        </w:rPr>
        <w:t>8. Misi Masa Depan AAOU</w:t>
      </w:r>
    </w:p>
    <w:p w14:paraId="4270DC71">
      <w:r>
        <w:t xml:space="preserve">AAOU menargetkan transformasi menuju </w:t>
      </w:r>
      <w:r>
        <w:rPr>
          <w:i/>
          <w:iCs/>
        </w:rPr>
        <w:t>Digital Learning Ecosystem</w:t>
      </w:r>
      <w:r>
        <w:t xml:space="preserve"> regional, dengan pilar:</w:t>
      </w:r>
    </w:p>
    <w:p w14:paraId="7EC5A0E1">
      <w:pPr>
        <w:numPr>
          <w:ilvl w:val="0"/>
          <w:numId w:val="30"/>
        </w:numPr>
      </w:pPr>
      <w:r>
        <w:rPr>
          <w:b/>
          <w:bCs/>
        </w:rPr>
        <w:t>Konektivitas lintas lembaga (Interconnectivity);</w:t>
      </w:r>
    </w:p>
    <w:p w14:paraId="7EB9E307">
      <w:pPr>
        <w:numPr>
          <w:ilvl w:val="0"/>
          <w:numId w:val="30"/>
        </w:numPr>
      </w:pPr>
      <w:r>
        <w:rPr>
          <w:b/>
          <w:bCs/>
        </w:rPr>
        <w:t>Personalisasi berbasis AI (AI-driven Learning);</w:t>
      </w:r>
    </w:p>
    <w:p w14:paraId="3C477728">
      <w:pPr>
        <w:numPr>
          <w:ilvl w:val="0"/>
          <w:numId w:val="30"/>
        </w:numPr>
      </w:pPr>
      <w:r>
        <w:rPr>
          <w:b/>
          <w:bCs/>
        </w:rPr>
        <w:t>Keterbukaan ilmu dan data (Open Science &amp; Open Data).</w:t>
      </w:r>
    </w:p>
    <w:p w14:paraId="1CB31DDD">
      <w:r>
        <w:t xml:space="preserve">AAOU juga akan mendirikan </w:t>
      </w:r>
      <w:r>
        <w:rPr>
          <w:b/>
          <w:bCs/>
        </w:rPr>
        <w:t>Pusat Keunggulan Inovasi dan Teknologi Pendidikan (Center for Innovation and Technology in Education)</w:t>
      </w:r>
      <w:r>
        <w:t xml:space="preserve"> pada tahun 2026.</w:t>
      </w:r>
    </w:p>
    <w:p w14:paraId="1E8D6315"/>
    <w:p w14:paraId="311ECE28">
      <w:pPr>
        <w:rPr>
          <w:b/>
          <w:bCs/>
        </w:rPr>
      </w:pPr>
      <w:r>
        <w:rPr>
          <w:b/>
          <w:bCs/>
        </w:rPr>
        <w:t>9. Penutup</w:t>
      </w:r>
    </w:p>
    <w:p w14:paraId="05D7B0D9">
      <w:r>
        <w:t>Selama lebih dari tiga dekade, AAOU telah menjadi katalisator perubahan pendidikan tinggi di Asia.</w:t>
      </w:r>
      <w:r>
        <w:br w:type="textWrapping"/>
      </w:r>
      <w:r>
        <w:t>Asosiasi ini menegaskan bahwa pendidikan terbuka bukan sekadar metode, tetapi juga gerakan sosial untuk mewujudkan keadilan dan kemajuan.</w:t>
      </w:r>
    </w:p>
    <w:p w14:paraId="3EA81FEB">
      <w:r>
        <w:t>“AAOU bukan hanya organisasi — ia adalah semangat kolektif untuk membuka jalan menuju masa depan pembelajaran tanpa batas.”</w:t>
      </w:r>
    </w:p>
    <w:p w14:paraId="52DD3EDB"/>
    <w:p w14:paraId="0CC13226">
      <w:pPr>
        <w:rPr>
          <w:b/>
          <w:bCs/>
        </w:rPr>
      </w:pPr>
      <w:r>
        <w:rPr>
          <w:b/>
          <w:bCs/>
        </w:rPr>
        <w:t>BAB 5 — Kemajuan Teknologi: Peluang dan Tantangan</w:t>
      </w:r>
    </w:p>
    <w:p w14:paraId="6AADA66E">
      <w:r>
        <w:t>Penulis: Ardik Ardianto, Fauzy Rahman Kosasih, Rahmat Budiman, &amp; Tian Belawati</w:t>
      </w:r>
    </w:p>
    <w:p w14:paraId="22D6C6DE"/>
    <w:p w14:paraId="2498049F">
      <w:pPr>
        <w:rPr>
          <w:b/>
          <w:bCs/>
        </w:rPr>
      </w:pPr>
      <w:r>
        <w:rPr>
          <w:b/>
          <w:bCs/>
        </w:rPr>
        <w:t>1. Pendahuluan</w:t>
      </w:r>
    </w:p>
    <w:p w14:paraId="76F616A8">
      <w:r>
        <w:t>Perkembangan teknologi digital telah mengubah cara manusia belajar, mengajar, dan berinteraksi dengan pengetahuan.</w:t>
      </w:r>
      <w:r>
        <w:br w:type="textWrapping"/>
      </w:r>
      <w:r>
        <w:t xml:space="preserve">Dalam konteks pendidikan terbuka dan jarak jauh, teknologi bukan hanya alat bantu, tetapi </w:t>
      </w:r>
      <w:r>
        <w:rPr>
          <w:b/>
          <w:bCs/>
        </w:rPr>
        <w:t>pondasi utama</w:t>
      </w:r>
      <w:r>
        <w:t xml:space="preserve"> transformasi pembelajaran.</w:t>
      </w:r>
    </w:p>
    <w:p w14:paraId="59D0357F">
      <w:r>
        <w:t>AAOU dan universitas anggotanya telah menjadi pionir dalam penerapan teknologi untuk memperluas akses pendidikan dan meningkatkan kualitas pembelajaran.</w:t>
      </w:r>
    </w:p>
    <w:p w14:paraId="23A13CC1"/>
    <w:p w14:paraId="7BA47600">
      <w:pPr>
        <w:rPr>
          <w:b/>
          <w:bCs/>
        </w:rPr>
      </w:pPr>
      <w:r>
        <w:rPr>
          <w:b/>
          <w:bCs/>
        </w:rPr>
        <w:t>2. Tahapan Perkembangan Teknologi dalam Pendidikan Terbuka</w:t>
      </w:r>
    </w:p>
    <w:tbl>
      <w:tblPr>
        <w:tblStyle w:val="13"/>
        <w:tblW w:w="0" w:type="auto"/>
        <w:tblCellSpacing w:w="15" w:type="dxa"/>
        <w:tblInd w:w="0" w:type="dxa"/>
        <w:tblLayout w:type="autofit"/>
        <w:tblCellMar>
          <w:top w:w="15" w:type="dxa"/>
          <w:left w:w="15" w:type="dxa"/>
          <w:bottom w:w="15" w:type="dxa"/>
          <w:right w:w="15" w:type="dxa"/>
        </w:tblCellMar>
      </w:tblPr>
      <w:tblGrid>
        <w:gridCol w:w="822"/>
        <w:gridCol w:w="2063"/>
        <w:gridCol w:w="2326"/>
        <w:gridCol w:w="3519"/>
      </w:tblGrid>
      <w:tr w14:paraId="4C5181E3">
        <w:tblPrEx>
          <w:tblCellMar>
            <w:top w:w="15" w:type="dxa"/>
            <w:left w:w="15" w:type="dxa"/>
            <w:bottom w:w="15" w:type="dxa"/>
            <w:right w:w="15" w:type="dxa"/>
          </w:tblCellMar>
        </w:tblPrEx>
        <w:trPr>
          <w:tblHeader/>
          <w:tblCellSpacing w:w="15" w:type="dxa"/>
        </w:trPr>
        <w:tc>
          <w:tcPr>
            <w:tcW w:w="0" w:type="auto"/>
            <w:vAlign w:val="center"/>
          </w:tcPr>
          <w:p w14:paraId="6F4FDF8C">
            <w:pPr>
              <w:rPr>
                <w:b/>
                <w:bCs/>
              </w:rPr>
            </w:pPr>
            <w:r>
              <w:rPr>
                <w:b/>
                <w:bCs/>
              </w:rPr>
              <w:t>Tahap</w:t>
            </w:r>
          </w:p>
        </w:tc>
        <w:tc>
          <w:tcPr>
            <w:tcW w:w="0" w:type="auto"/>
            <w:vAlign w:val="center"/>
          </w:tcPr>
          <w:p w14:paraId="6640004F">
            <w:pPr>
              <w:rPr>
                <w:b/>
                <w:bCs/>
              </w:rPr>
            </w:pPr>
            <w:r>
              <w:rPr>
                <w:b/>
                <w:bCs/>
              </w:rPr>
              <w:t>Periode</w:t>
            </w:r>
          </w:p>
        </w:tc>
        <w:tc>
          <w:tcPr>
            <w:tcW w:w="0" w:type="auto"/>
            <w:vAlign w:val="center"/>
          </w:tcPr>
          <w:p w14:paraId="4058B9AE">
            <w:pPr>
              <w:rPr>
                <w:b/>
                <w:bCs/>
              </w:rPr>
            </w:pPr>
            <w:r>
              <w:rPr>
                <w:b/>
                <w:bCs/>
              </w:rPr>
              <w:t>Teknologi Utama</w:t>
            </w:r>
          </w:p>
        </w:tc>
        <w:tc>
          <w:tcPr>
            <w:tcW w:w="0" w:type="auto"/>
            <w:vAlign w:val="center"/>
          </w:tcPr>
          <w:p w14:paraId="26D82007">
            <w:pPr>
              <w:rPr>
                <w:b/>
                <w:bCs/>
              </w:rPr>
            </w:pPr>
            <w:r>
              <w:rPr>
                <w:b/>
                <w:bCs/>
              </w:rPr>
              <w:t>Ciri Pembelajaran</w:t>
            </w:r>
          </w:p>
        </w:tc>
      </w:tr>
      <w:tr w14:paraId="1270113D">
        <w:tblPrEx>
          <w:tblCellMar>
            <w:top w:w="15" w:type="dxa"/>
            <w:left w:w="15" w:type="dxa"/>
            <w:bottom w:w="15" w:type="dxa"/>
            <w:right w:w="15" w:type="dxa"/>
          </w:tblCellMar>
        </w:tblPrEx>
        <w:trPr>
          <w:tblCellSpacing w:w="15" w:type="dxa"/>
        </w:trPr>
        <w:tc>
          <w:tcPr>
            <w:tcW w:w="0" w:type="auto"/>
            <w:vAlign w:val="center"/>
          </w:tcPr>
          <w:p w14:paraId="6DF0B708">
            <w:r>
              <w:t>I</w:t>
            </w:r>
          </w:p>
        </w:tc>
        <w:tc>
          <w:tcPr>
            <w:tcW w:w="0" w:type="auto"/>
            <w:vAlign w:val="center"/>
          </w:tcPr>
          <w:p w14:paraId="46AA9861">
            <w:r>
              <w:t>1980–1990-an</w:t>
            </w:r>
          </w:p>
        </w:tc>
        <w:tc>
          <w:tcPr>
            <w:tcW w:w="0" w:type="auto"/>
            <w:vAlign w:val="center"/>
          </w:tcPr>
          <w:p w14:paraId="19A49F6D">
            <w:r>
              <w:t>Radio, televisi, bahan cetak</w:t>
            </w:r>
          </w:p>
        </w:tc>
        <w:tc>
          <w:tcPr>
            <w:tcW w:w="0" w:type="auto"/>
            <w:vAlign w:val="center"/>
          </w:tcPr>
          <w:p w14:paraId="5B84D86F">
            <w:r>
              <w:t>Sistem korespondensi dua arah terbatas</w:t>
            </w:r>
          </w:p>
        </w:tc>
      </w:tr>
      <w:tr w14:paraId="6E1FA97A">
        <w:tblPrEx>
          <w:tblCellMar>
            <w:top w:w="15" w:type="dxa"/>
            <w:left w:w="15" w:type="dxa"/>
            <w:bottom w:w="15" w:type="dxa"/>
            <w:right w:w="15" w:type="dxa"/>
          </w:tblCellMar>
        </w:tblPrEx>
        <w:trPr>
          <w:tblCellSpacing w:w="15" w:type="dxa"/>
        </w:trPr>
        <w:tc>
          <w:tcPr>
            <w:tcW w:w="0" w:type="auto"/>
            <w:vAlign w:val="center"/>
          </w:tcPr>
          <w:p w14:paraId="70520EC0">
            <w:r>
              <w:t>II</w:t>
            </w:r>
          </w:p>
        </w:tc>
        <w:tc>
          <w:tcPr>
            <w:tcW w:w="0" w:type="auto"/>
            <w:vAlign w:val="center"/>
          </w:tcPr>
          <w:p w14:paraId="170CC16E">
            <w:r>
              <w:t>2000–2010</w:t>
            </w:r>
          </w:p>
        </w:tc>
        <w:tc>
          <w:tcPr>
            <w:tcW w:w="0" w:type="auto"/>
            <w:vAlign w:val="center"/>
          </w:tcPr>
          <w:p w14:paraId="5F655F2B">
            <w:r>
              <w:t>Internet dan e-learning</w:t>
            </w:r>
          </w:p>
        </w:tc>
        <w:tc>
          <w:tcPr>
            <w:tcW w:w="0" w:type="auto"/>
            <w:vAlign w:val="center"/>
          </w:tcPr>
          <w:p w14:paraId="4F00D607">
            <w:r>
              <w:t>Materi digital dan LMS pertama</w:t>
            </w:r>
          </w:p>
        </w:tc>
      </w:tr>
      <w:tr w14:paraId="6BBD98C6">
        <w:tblPrEx>
          <w:tblCellMar>
            <w:top w:w="15" w:type="dxa"/>
            <w:left w:w="15" w:type="dxa"/>
            <w:bottom w:w="15" w:type="dxa"/>
            <w:right w:w="15" w:type="dxa"/>
          </w:tblCellMar>
        </w:tblPrEx>
        <w:trPr>
          <w:tblCellSpacing w:w="15" w:type="dxa"/>
        </w:trPr>
        <w:tc>
          <w:tcPr>
            <w:tcW w:w="0" w:type="auto"/>
            <w:vAlign w:val="center"/>
          </w:tcPr>
          <w:p w14:paraId="4FB58C7B">
            <w:r>
              <w:t>III</w:t>
            </w:r>
          </w:p>
        </w:tc>
        <w:tc>
          <w:tcPr>
            <w:tcW w:w="0" w:type="auto"/>
            <w:vAlign w:val="center"/>
          </w:tcPr>
          <w:p w14:paraId="02DB188A">
            <w:r>
              <w:t>2010–2020</w:t>
            </w:r>
          </w:p>
        </w:tc>
        <w:tc>
          <w:tcPr>
            <w:tcW w:w="0" w:type="auto"/>
            <w:vAlign w:val="center"/>
          </w:tcPr>
          <w:p w14:paraId="2A490F0C">
            <w:r>
              <w:t>MOOCs, mobile learning</w:t>
            </w:r>
          </w:p>
        </w:tc>
        <w:tc>
          <w:tcPr>
            <w:tcW w:w="0" w:type="auto"/>
            <w:vAlign w:val="center"/>
          </w:tcPr>
          <w:p w14:paraId="4FD2F995">
            <w:r>
              <w:t>Akses global dan pengalaman belajar fleksibel</w:t>
            </w:r>
          </w:p>
        </w:tc>
      </w:tr>
      <w:tr w14:paraId="2C6F09BB">
        <w:tblPrEx>
          <w:tblCellMar>
            <w:top w:w="15" w:type="dxa"/>
            <w:left w:w="15" w:type="dxa"/>
            <w:bottom w:w="15" w:type="dxa"/>
            <w:right w:w="15" w:type="dxa"/>
          </w:tblCellMar>
        </w:tblPrEx>
        <w:trPr>
          <w:tblCellSpacing w:w="15" w:type="dxa"/>
        </w:trPr>
        <w:tc>
          <w:tcPr>
            <w:tcW w:w="0" w:type="auto"/>
            <w:vAlign w:val="center"/>
          </w:tcPr>
          <w:p w14:paraId="639AE75A">
            <w:r>
              <w:t>IV</w:t>
            </w:r>
          </w:p>
        </w:tc>
        <w:tc>
          <w:tcPr>
            <w:tcW w:w="0" w:type="auto"/>
            <w:vAlign w:val="center"/>
          </w:tcPr>
          <w:p w14:paraId="48AA589D">
            <w:r>
              <w:t>2020–sekarang</w:t>
            </w:r>
          </w:p>
        </w:tc>
        <w:tc>
          <w:tcPr>
            <w:tcW w:w="0" w:type="auto"/>
            <w:vAlign w:val="center"/>
          </w:tcPr>
          <w:p w14:paraId="4A164E9C">
            <w:r>
              <w:t>AI, VR/AR, learning analytics</w:t>
            </w:r>
          </w:p>
        </w:tc>
        <w:tc>
          <w:tcPr>
            <w:tcW w:w="0" w:type="auto"/>
            <w:vAlign w:val="center"/>
          </w:tcPr>
          <w:p w14:paraId="54D28CC3">
            <w:r>
              <w:t>Pembelajaran adaptif dan berbasis data</w:t>
            </w:r>
          </w:p>
        </w:tc>
      </w:tr>
    </w:tbl>
    <w:p w14:paraId="3AD50C32"/>
    <w:p w14:paraId="1A41BC06">
      <w:pPr>
        <w:rPr>
          <w:b/>
          <w:bCs/>
        </w:rPr>
      </w:pPr>
      <w:r>
        <w:rPr>
          <w:b/>
          <w:bCs/>
        </w:rPr>
        <w:t>3. Inovasi Teknologi oleh Anggota AAOU</w:t>
      </w:r>
    </w:p>
    <w:p w14:paraId="66D6EE32">
      <w:pPr>
        <w:numPr>
          <w:ilvl w:val="0"/>
          <w:numId w:val="31"/>
        </w:numPr>
      </w:pPr>
      <w:r>
        <w:rPr>
          <w:b/>
          <w:bCs/>
        </w:rPr>
        <w:t>STOU (Thailand):</w:t>
      </w:r>
      <w:r>
        <w:t xml:space="preserve"> Mengembangkan </w:t>
      </w:r>
      <w:r>
        <w:rPr>
          <w:i/>
          <w:iCs/>
        </w:rPr>
        <w:t>Sukhothai Distance Learning System (SDLS)</w:t>
      </w:r>
      <w:r>
        <w:t xml:space="preserve"> dan TV edukatif nasional.</w:t>
      </w:r>
    </w:p>
    <w:p w14:paraId="5E7CE0F5">
      <w:pPr>
        <w:numPr>
          <w:ilvl w:val="0"/>
          <w:numId w:val="31"/>
        </w:numPr>
      </w:pPr>
      <w:r>
        <w:rPr>
          <w:b/>
          <w:bCs/>
        </w:rPr>
        <w:t>Universitas Terbuka (Indonesia):</w:t>
      </w:r>
      <w:r>
        <w:t xml:space="preserve"> Meluncurkan </w:t>
      </w:r>
      <w:r>
        <w:rPr>
          <w:i/>
          <w:iCs/>
        </w:rPr>
        <w:t>UT Smart Learning System (UT-SLS)</w:t>
      </w:r>
      <w:r>
        <w:t xml:space="preserve"> berbasis AI.</w:t>
      </w:r>
    </w:p>
    <w:p w14:paraId="77CF0D50">
      <w:pPr>
        <w:numPr>
          <w:ilvl w:val="0"/>
          <w:numId w:val="31"/>
        </w:numPr>
      </w:pPr>
      <w:r>
        <w:rPr>
          <w:b/>
          <w:bCs/>
        </w:rPr>
        <w:t>UPOU (Filipina):</w:t>
      </w:r>
      <w:r>
        <w:t xml:space="preserve"> Mengembangkan platform </w:t>
      </w:r>
      <w:r>
        <w:rPr>
          <w:i/>
          <w:iCs/>
        </w:rPr>
        <w:t>MODeL</w:t>
      </w:r>
      <w:r>
        <w:t xml:space="preserve"> dan </w:t>
      </w:r>
      <w:r>
        <w:rPr>
          <w:i/>
          <w:iCs/>
        </w:rPr>
        <w:t>Virtual Hub</w:t>
      </w:r>
      <w:r>
        <w:t xml:space="preserve"> untuk pelatihan daring.</w:t>
      </w:r>
    </w:p>
    <w:p w14:paraId="5D3EAEFF">
      <w:pPr>
        <w:numPr>
          <w:ilvl w:val="0"/>
          <w:numId w:val="31"/>
        </w:numPr>
      </w:pPr>
      <w:r>
        <w:rPr>
          <w:b/>
          <w:bCs/>
        </w:rPr>
        <w:t>HKMU (Hong Kong):</w:t>
      </w:r>
      <w:r>
        <w:t xml:space="preserve"> Mengimplementasikan </w:t>
      </w:r>
      <w:r>
        <w:rPr>
          <w:i/>
          <w:iCs/>
        </w:rPr>
        <w:t>AI translation</w:t>
      </w:r>
      <w:r>
        <w:t xml:space="preserve"> dan </w:t>
      </w:r>
      <w:r>
        <w:rPr>
          <w:i/>
          <w:iCs/>
        </w:rPr>
        <w:t>speech-to-text captioning</w:t>
      </w:r>
      <w:r>
        <w:t>.</w:t>
      </w:r>
    </w:p>
    <w:p w14:paraId="48CC4D12">
      <w:pPr>
        <w:numPr>
          <w:ilvl w:val="0"/>
          <w:numId w:val="31"/>
        </w:numPr>
      </w:pPr>
      <w:r>
        <w:rPr>
          <w:b/>
          <w:bCs/>
        </w:rPr>
        <w:t>OUC (Tiongkok):</w:t>
      </w:r>
      <w:r>
        <w:t xml:space="preserve"> Membangun </w:t>
      </w:r>
      <w:r>
        <w:rPr>
          <w:i/>
          <w:iCs/>
        </w:rPr>
        <w:t>Smart Learning Factory</w:t>
      </w:r>
      <w:r>
        <w:t xml:space="preserve"> dengan 100.000+ kursus daring.</w:t>
      </w:r>
    </w:p>
    <w:p w14:paraId="60B57C9C"/>
    <w:p w14:paraId="2D7A5B0B">
      <w:pPr>
        <w:rPr>
          <w:b/>
          <w:bCs/>
        </w:rPr>
      </w:pPr>
      <w:r>
        <w:rPr>
          <w:b/>
          <w:bCs/>
        </w:rPr>
        <w:t>4. Kolaborasi dan Standar Teknologi AAOU</w:t>
      </w:r>
    </w:p>
    <w:p w14:paraId="4A037DD3">
      <w:r>
        <w:t>AAOU membentuk kerangka teknologi kawasan yang mencakup:</w:t>
      </w:r>
    </w:p>
    <w:p w14:paraId="02FEF6C6">
      <w:pPr>
        <w:numPr>
          <w:ilvl w:val="0"/>
          <w:numId w:val="32"/>
        </w:numPr>
      </w:pPr>
      <w:r>
        <w:rPr>
          <w:b/>
          <w:bCs/>
        </w:rPr>
        <w:t>Infrastruktur Digital:</w:t>
      </w:r>
      <w:r>
        <w:t xml:space="preserve"> Cloud storage dan interoperabilitas sistem LMS;</w:t>
      </w:r>
    </w:p>
    <w:p w14:paraId="0A4DCBB8">
      <w:pPr>
        <w:numPr>
          <w:ilvl w:val="0"/>
          <w:numId w:val="32"/>
        </w:numPr>
      </w:pPr>
      <w:r>
        <w:rPr>
          <w:b/>
          <w:bCs/>
        </w:rPr>
        <w:t>Inovasi Pedagogi:</w:t>
      </w:r>
      <w:r>
        <w:t xml:space="preserve"> Pembelajaran campuran dan proyek berbasis AI;</w:t>
      </w:r>
    </w:p>
    <w:p w14:paraId="658D17C1">
      <w:pPr>
        <w:numPr>
          <w:ilvl w:val="0"/>
          <w:numId w:val="32"/>
        </w:numPr>
      </w:pPr>
      <w:r>
        <w:rPr>
          <w:b/>
          <w:bCs/>
        </w:rPr>
        <w:t>Penjaminan Mutu:</w:t>
      </w:r>
      <w:r>
        <w:t xml:space="preserve"> </w:t>
      </w:r>
      <w:r>
        <w:rPr>
          <w:i/>
          <w:iCs/>
        </w:rPr>
        <w:t>AAOU EdTech Benchmark</w:t>
      </w:r>
      <w:r>
        <w:t>;</w:t>
      </w:r>
    </w:p>
    <w:p w14:paraId="70D523A3">
      <w:pPr>
        <w:numPr>
          <w:ilvl w:val="0"/>
          <w:numId w:val="32"/>
        </w:numPr>
      </w:pPr>
      <w:r>
        <w:rPr>
          <w:b/>
          <w:bCs/>
        </w:rPr>
        <w:t>Sumber Terbuka:</w:t>
      </w:r>
      <w:r>
        <w:t xml:space="preserve"> </w:t>
      </w:r>
      <w:r>
        <w:rPr>
          <w:i/>
          <w:iCs/>
        </w:rPr>
        <w:t>AAOU Repository</w:t>
      </w:r>
      <w:r>
        <w:t xml:space="preserve"> dan lisensi </w:t>
      </w:r>
      <w:r>
        <w:rPr>
          <w:i/>
          <w:iCs/>
        </w:rPr>
        <w:t>Creative Commons</w:t>
      </w:r>
      <w:r>
        <w:t>;</w:t>
      </w:r>
    </w:p>
    <w:p w14:paraId="3BC521A5">
      <w:pPr>
        <w:numPr>
          <w:ilvl w:val="0"/>
          <w:numId w:val="32"/>
        </w:numPr>
      </w:pPr>
      <w:r>
        <w:rPr>
          <w:b/>
          <w:bCs/>
        </w:rPr>
        <w:t>Peningkatan Kapasitas:</w:t>
      </w:r>
      <w:r>
        <w:t xml:space="preserve"> Lokakarya tahunan teknologi pendidikan bekerja sama dengan UNESCO dan SEAMEO.</w:t>
      </w:r>
    </w:p>
    <w:p w14:paraId="14A8937B"/>
    <w:p w14:paraId="222E95AD">
      <w:pPr>
        <w:rPr>
          <w:b/>
          <w:bCs/>
        </w:rPr>
      </w:pPr>
      <w:r>
        <w:rPr>
          <w:b/>
          <w:bCs/>
        </w:rPr>
        <w:t>5. Peluang Teknologi</w:t>
      </w:r>
    </w:p>
    <w:p w14:paraId="7030C5F7">
      <w:pPr>
        <w:numPr>
          <w:ilvl w:val="0"/>
          <w:numId w:val="33"/>
        </w:numPr>
      </w:pPr>
      <w:r>
        <w:rPr>
          <w:b/>
          <w:bCs/>
        </w:rPr>
        <w:t>Personalisasi Pembelajaran:</w:t>
      </w:r>
      <w:r>
        <w:t xml:space="preserve"> AI menyesuaikan materi dengan kemampuan individu.</w:t>
      </w:r>
    </w:p>
    <w:p w14:paraId="1A2796CF">
      <w:pPr>
        <w:numPr>
          <w:ilvl w:val="0"/>
          <w:numId w:val="33"/>
        </w:numPr>
      </w:pPr>
      <w:r>
        <w:rPr>
          <w:b/>
          <w:bCs/>
        </w:rPr>
        <w:t>Akses Tanpa Batas:</w:t>
      </w:r>
      <w:r>
        <w:t xml:space="preserve"> Pembelajaran lintas perangkat dan zona waktu.</w:t>
      </w:r>
    </w:p>
    <w:p w14:paraId="7BD14342">
      <w:pPr>
        <w:numPr>
          <w:ilvl w:val="0"/>
          <w:numId w:val="33"/>
        </w:numPr>
      </w:pPr>
      <w:r>
        <w:rPr>
          <w:b/>
          <w:bCs/>
        </w:rPr>
        <w:t>Peningkatan Kualitas:</w:t>
      </w:r>
      <w:r>
        <w:t xml:space="preserve"> VR/AR meningkatkan interaktivitas dan pemahaman konsep kompleks.</w:t>
      </w:r>
    </w:p>
    <w:p w14:paraId="260E46CB">
      <w:pPr>
        <w:numPr>
          <w:ilvl w:val="0"/>
          <w:numId w:val="33"/>
        </w:numPr>
      </w:pPr>
      <w:r>
        <w:rPr>
          <w:b/>
          <w:bCs/>
        </w:rPr>
        <w:t>Keadilan Pendidikan:</w:t>
      </w:r>
      <w:r>
        <w:t xml:space="preserve"> Teknologi menjembatani kesenjangan antara wilayah maju dan terpencil.</w:t>
      </w:r>
    </w:p>
    <w:p w14:paraId="0CBEB17E"/>
    <w:p w14:paraId="0AABD6CA">
      <w:pPr>
        <w:rPr>
          <w:b/>
          <w:bCs/>
        </w:rPr>
      </w:pPr>
      <w:r>
        <w:rPr>
          <w:b/>
          <w:bCs/>
        </w:rPr>
        <w:t>6. Tantangan yang Dihadapi</w:t>
      </w:r>
    </w:p>
    <w:p w14:paraId="7D5BB6B5">
      <w:pPr>
        <w:numPr>
          <w:ilvl w:val="0"/>
          <w:numId w:val="34"/>
        </w:numPr>
      </w:pPr>
      <w:r>
        <w:rPr>
          <w:b/>
          <w:bCs/>
        </w:rPr>
        <w:t>Kesenjangan Digital:</w:t>
      </w:r>
      <w:r>
        <w:t xml:space="preserve"> Infrastruktur internet belum merata.</w:t>
      </w:r>
    </w:p>
    <w:p w14:paraId="427D27DA">
      <w:pPr>
        <w:numPr>
          <w:ilvl w:val="0"/>
          <w:numId w:val="34"/>
        </w:numPr>
      </w:pPr>
      <w:r>
        <w:rPr>
          <w:b/>
          <w:bCs/>
        </w:rPr>
        <w:t>Keamanan Data:</w:t>
      </w:r>
      <w:r>
        <w:t xml:space="preserve"> Perlunya standar privasi seperti GDPR.</w:t>
      </w:r>
    </w:p>
    <w:p w14:paraId="566EB7D3">
      <w:pPr>
        <w:numPr>
          <w:ilvl w:val="0"/>
          <w:numId w:val="34"/>
        </w:numPr>
      </w:pPr>
      <w:r>
        <w:rPr>
          <w:b/>
          <w:bCs/>
        </w:rPr>
        <w:t>Kesiapan Dosen:</w:t>
      </w:r>
      <w:r>
        <w:t xml:space="preserve"> Banyak pendidik perlu pelatihan integrasi teknologi.</w:t>
      </w:r>
    </w:p>
    <w:p w14:paraId="708F0D7D">
      <w:pPr>
        <w:numPr>
          <w:ilvl w:val="0"/>
          <w:numId w:val="34"/>
        </w:numPr>
      </w:pPr>
      <w:r>
        <w:rPr>
          <w:b/>
          <w:bCs/>
        </w:rPr>
        <w:t>Fragmentasi Kualitas:</w:t>
      </w:r>
      <w:r>
        <w:t xml:space="preserve"> Over-produksi konten daring tanpa kontrol mutu.</w:t>
      </w:r>
    </w:p>
    <w:p w14:paraId="3B056D92"/>
    <w:p w14:paraId="5A4948F0">
      <w:pPr>
        <w:rPr>
          <w:b/>
          <w:bCs/>
        </w:rPr>
      </w:pPr>
      <w:r>
        <w:rPr>
          <w:b/>
          <w:bCs/>
        </w:rPr>
        <w:t>7. Tren Teknologi Masa Depan</w:t>
      </w:r>
    </w:p>
    <w:p w14:paraId="4880034B">
      <w:r>
        <w:t>1️</w:t>
      </w:r>
      <w:r>
        <w:rPr>
          <w:rFonts w:ascii="Segoe UI Symbol" w:hAnsi="Segoe UI Symbol" w:cs="Segoe UI Symbol"/>
        </w:rPr>
        <w:t>⃣</w:t>
      </w:r>
      <w:r>
        <w:t xml:space="preserve"> </w:t>
      </w:r>
      <w:r>
        <w:rPr>
          <w:b/>
          <w:bCs/>
        </w:rPr>
        <w:t>AI &amp; Analitik Pembelajaran (Learning Analytics)</w:t>
      </w:r>
      <w:r>
        <w:br w:type="textWrapping"/>
      </w:r>
      <w:r>
        <w:t>AI membantu memahami pola belajar dan hasil akademik mahasiswa.</w:t>
      </w:r>
    </w:p>
    <w:p w14:paraId="720B217F">
      <w:r>
        <w:t>2️</w:t>
      </w:r>
      <w:r>
        <w:rPr>
          <w:rFonts w:ascii="Segoe UI Symbol" w:hAnsi="Segoe UI Symbol" w:cs="Segoe UI Symbol"/>
        </w:rPr>
        <w:t>⃣</w:t>
      </w:r>
      <w:r>
        <w:t xml:space="preserve"> </w:t>
      </w:r>
      <w:r>
        <w:rPr>
          <w:b/>
          <w:bCs/>
        </w:rPr>
        <w:t>Pembelajaran Campuran dan Imersif (Blended &amp; Immersive Learning)</w:t>
      </w:r>
      <w:r>
        <w:br w:type="textWrapping"/>
      </w:r>
      <w:r>
        <w:t xml:space="preserve">Menggabungkan ruang fisik dan virtual — konsep </w:t>
      </w:r>
      <w:r>
        <w:rPr>
          <w:i/>
          <w:iCs/>
        </w:rPr>
        <w:t>Phygital Learning</w:t>
      </w:r>
      <w:r>
        <w:t>.</w:t>
      </w:r>
    </w:p>
    <w:p w14:paraId="3010E964">
      <w:r>
        <w:t>3️</w:t>
      </w:r>
      <w:r>
        <w:rPr>
          <w:rFonts w:ascii="Segoe UI Symbol" w:hAnsi="Segoe UI Symbol" w:cs="Segoe UI Symbol"/>
        </w:rPr>
        <w:t>⃣</w:t>
      </w:r>
      <w:r>
        <w:t xml:space="preserve"> </w:t>
      </w:r>
      <w:r>
        <w:rPr>
          <w:b/>
          <w:bCs/>
        </w:rPr>
        <w:t>Sains Terbuka dan Sumber Terbuka (Open Science &amp; OER)</w:t>
      </w:r>
      <w:r>
        <w:br w:type="textWrapping"/>
      </w:r>
      <w:r>
        <w:t>Promosi akses bebas terhadap data dan hasil penelitian.</w:t>
      </w:r>
    </w:p>
    <w:p w14:paraId="13D67CAB">
      <w:r>
        <w:t>4️</w:t>
      </w:r>
      <w:r>
        <w:rPr>
          <w:rFonts w:ascii="Segoe UI Symbol" w:hAnsi="Segoe UI Symbol" w:cs="Segoe UI Symbol"/>
        </w:rPr>
        <w:t>⃣</w:t>
      </w:r>
      <w:r>
        <w:t xml:space="preserve"> </w:t>
      </w:r>
      <w:r>
        <w:rPr>
          <w:b/>
          <w:bCs/>
        </w:rPr>
        <w:t>Pembelajaran Multibahasa dan Inklusif</w:t>
      </w:r>
      <w:r>
        <w:br w:type="textWrapping"/>
      </w:r>
      <w:r>
        <w:t>Integrasi sistem terjemahan real-time dan avatar bahasa isyarat digital.</w:t>
      </w:r>
    </w:p>
    <w:p w14:paraId="26796FB5">
      <w:r>
        <w:t>5️</w:t>
      </w:r>
      <w:r>
        <w:rPr>
          <w:rFonts w:ascii="Segoe UI Symbol" w:hAnsi="Segoe UI Symbol" w:cs="Segoe UI Symbol"/>
        </w:rPr>
        <w:t>⃣</w:t>
      </w:r>
      <w:r>
        <w:t xml:space="preserve"> </w:t>
      </w:r>
      <w:r>
        <w:rPr>
          <w:b/>
          <w:bCs/>
        </w:rPr>
        <w:t>Tata Kelola Mutu Berbasis Data (Data-driven QA)</w:t>
      </w:r>
      <w:r>
        <w:br w:type="textWrapping"/>
      </w:r>
      <w:r>
        <w:t>Pengambilan keputusan akademik berbasis bukti dan data statistik real-time.</w:t>
      </w:r>
    </w:p>
    <w:p w14:paraId="1BBF4674"/>
    <w:p w14:paraId="13FE7F80">
      <w:pPr>
        <w:rPr>
          <w:b/>
          <w:bCs/>
        </w:rPr>
      </w:pPr>
      <w:r>
        <w:rPr>
          <w:b/>
          <w:bCs/>
        </w:rPr>
        <w:t>8. Visi Digital AAOU ke Depan</w:t>
      </w:r>
    </w:p>
    <w:p w14:paraId="256DFD2F">
      <w:r>
        <w:t>AAOU berkomitmen membangun:</w:t>
      </w:r>
    </w:p>
    <w:p w14:paraId="0796C9F2">
      <w:pPr>
        <w:numPr>
          <w:ilvl w:val="0"/>
          <w:numId w:val="35"/>
        </w:numPr>
      </w:pPr>
      <w:r>
        <w:rPr>
          <w:b/>
          <w:bCs/>
        </w:rPr>
        <w:t>AAOU Digital Learning Ecosystem</w:t>
      </w:r>
      <w:r>
        <w:t xml:space="preserve"> – integrasi LMS, MOOCs, dan akreditasi digital;</w:t>
      </w:r>
    </w:p>
    <w:p w14:paraId="3ECE0289">
      <w:pPr>
        <w:numPr>
          <w:ilvl w:val="0"/>
          <w:numId w:val="35"/>
        </w:numPr>
      </w:pPr>
      <w:r>
        <w:rPr>
          <w:b/>
          <w:bCs/>
        </w:rPr>
        <w:t>Center for Technology &amp; Innovation Excellence</w:t>
      </w:r>
      <w:r>
        <w:t xml:space="preserve"> – pusat riset dan pelatihan (akan diluncurkan 2026);</w:t>
      </w:r>
    </w:p>
    <w:p w14:paraId="00440F66">
      <w:pPr>
        <w:numPr>
          <w:ilvl w:val="0"/>
          <w:numId w:val="35"/>
        </w:numPr>
      </w:pPr>
      <w:r>
        <w:rPr>
          <w:b/>
          <w:bCs/>
        </w:rPr>
        <w:t>Green Learning Initiative</w:t>
      </w:r>
      <w:r>
        <w:t xml:space="preserve"> – pembelajaran ramah lingkungan dan rendah emisi karbon.</w:t>
      </w:r>
    </w:p>
    <w:p w14:paraId="4E0F766C"/>
    <w:p w14:paraId="423EFA2F">
      <w:pPr>
        <w:rPr>
          <w:b/>
          <w:bCs/>
        </w:rPr>
      </w:pPr>
      <w:r>
        <w:rPr>
          <w:b/>
          <w:bCs/>
        </w:rPr>
        <w:t>9. Kesimpulan</w:t>
      </w:r>
    </w:p>
    <w:p w14:paraId="0510A2FC">
      <w:r>
        <w:t>AAOU dan universitas anggotanya telah membuktikan bahwa teknologi dapat menjadi sarana pemerataan pendidikan dan peningkatan mutu pembelajaran.</w:t>
      </w:r>
    </w:p>
    <w:p w14:paraId="6A496314">
      <w:r>
        <w:t>“Perjalanan AAOU adalah bukti nyata bahwa teknologi dapat membuka jalan bagi pembelajaran tanpa batas.”</w:t>
      </w:r>
    </w:p>
    <w:p w14:paraId="0D028932">
      <w:pPr>
        <w:rPr>
          <w:rFonts w:hint="eastAsia"/>
        </w:rPr>
      </w:pPr>
    </w:p>
    <w:sectPr>
      <w:pgSz w:w="12240" w:h="15840"/>
      <w:pgMar w:top="1440" w:right="1800" w:bottom="1440" w:left="1800"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ptos">
    <w:altName w:val="Segoe Print"/>
    <w:panose1 w:val="00000000000000000000"/>
    <w:charset w:val="00"/>
    <w:family w:val="swiss"/>
    <w:pitch w:val="default"/>
    <w:sig w:usb0="00000000" w:usb1="00000000" w:usb2="00000000" w:usb3="00000000" w:csb0="0000019F" w:csb1="00000000"/>
  </w:font>
  <w:font w:name="等线">
    <w:panose1 w:val="02010600030101010101"/>
    <w:charset w:val="86"/>
    <w:family w:val="auto"/>
    <w:pitch w:val="default"/>
    <w:sig w:usb0="A00002BF" w:usb1="38CF7CFA" w:usb2="00000016" w:usb3="00000000" w:csb0="0004000F" w:csb1="00000000"/>
  </w:font>
  <w:font w:name="Aptos Display">
    <w:altName w:val="Segoe Print"/>
    <w:panose1 w:val="00000000000000000000"/>
    <w:charset w:val="00"/>
    <w:family w:val="swiss"/>
    <w:pitch w:val="default"/>
    <w:sig w:usb0="00000000" w:usb1="00000000" w:usb2="00000000" w:usb3="00000000" w:csb0="0000019F" w:csb1="00000000"/>
  </w:font>
  <w:font w:name="等线 Light">
    <w:panose1 w:val="02010600030101010101"/>
    <w:charset w:val="86"/>
    <w:family w:val="auto"/>
    <w:pitch w:val="default"/>
    <w:sig w:usb0="A00002BF" w:usb1="38CF7CFA" w:usb2="00000016" w:usb3="00000000" w:csb0="0004000F" w:csb1="00000000"/>
  </w:font>
  <w:font w:name="Courier New">
    <w:panose1 w:val="02070309020205020404"/>
    <w:charset w:val="00"/>
    <w:family w:val="modern"/>
    <w:pitch w:val="default"/>
    <w:sig w:usb0="E0002EFF" w:usb1="C0007843" w:usb2="00000009" w:usb3="00000000" w:csb0="400001FF" w:csb1="FFFF0000"/>
  </w:font>
  <w:font w:name="Segoe UI Symbol">
    <w:panose1 w:val="020B0502040204020203"/>
    <w:charset w:val="00"/>
    <w:family w:val="swiss"/>
    <w:pitch w:val="default"/>
    <w:sig w:usb0="800001E3" w:usb1="1200FFEF" w:usb2="00040000" w:usb3="04000000" w:csb0="00000001" w:csb1="40000000"/>
  </w:font>
  <w:font w:name="Segoe Print">
    <w:panose1 w:val="02000600000000000000"/>
    <w:charset w:val="00"/>
    <w:family w:val="auto"/>
    <w:pitch w:val="default"/>
    <w:sig w:usb0="0000028F" w:usb1="00000000" w:usb2="00000000" w:usb3="00000000" w:csb0="2000009F" w:csb1="4701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2F77C39"/>
    <w:multiLevelType w:val="multilevel"/>
    <w:tmpl w:val="02F77C39"/>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
    <w:nsid w:val="03DB164D"/>
    <w:multiLevelType w:val="multilevel"/>
    <w:tmpl w:val="03DB164D"/>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2">
    <w:nsid w:val="174F5A8B"/>
    <w:multiLevelType w:val="multilevel"/>
    <w:tmpl w:val="174F5A8B"/>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3">
    <w:nsid w:val="1F26203C"/>
    <w:multiLevelType w:val="multilevel"/>
    <w:tmpl w:val="1F26203C"/>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4">
    <w:nsid w:val="1F8F5A3E"/>
    <w:multiLevelType w:val="multilevel"/>
    <w:tmpl w:val="1F8F5A3E"/>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5">
    <w:nsid w:val="224F5FA7"/>
    <w:multiLevelType w:val="multilevel"/>
    <w:tmpl w:val="224F5FA7"/>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6">
    <w:nsid w:val="258062A5"/>
    <w:multiLevelType w:val="multilevel"/>
    <w:tmpl w:val="258062A5"/>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7">
    <w:nsid w:val="26CD4340"/>
    <w:multiLevelType w:val="multilevel"/>
    <w:tmpl w:val="26CD4340"/>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8">
    <w:nsid w:val="2BCF6BFE"/>
    <w:multiLevelType w:val="multilevel"/>
    <w:tmpl w:val="2BCF6BFE"/>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9">
    <w:nsid w:val="2C074D95"/>
    <w:multiLevelType w:val="multilevel"/>
    <w:tmpl w:val="2C074D95"/>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0">
    <w:nsid w:val="2E884787"/>
    <w:multiLevelType w:val="multilevel"/>
    <w:tmpl w:val="2E884787"/>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1">
    <w:nsid w:val="2EE66218"/>
    <w:multiLevelType w:val="multilevel"/>
    <w:tmpl w:val="2EE66218"/>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2">
    <w:nsid w:val="33766636"/>
    <w:multiLevelType w:val="multilevel"/>
    <w:tmpl w:val="33766636"/>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3">
    <w:nsid w:val="3504121E"/>
    <w:multiLevelType w:val="multilevel"/>
    <w:tmpl w:val="3504121E"/>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4">
    <w:nsid w:val="350B35DB"/>
    <w:multiLevelType w:val="multilevel"/>
    <w:tmpl w:val="350B35DB"/>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5">
    <w:nsid w:val="3E243415"/>
    <w:multiLevelType w:val="multilevel"/>
    <w:tmpl w:val="3E243415"/>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6">
    <w:nsid w:val="41397A94"/>
    <w:multiLevelType w:val="multilevel"/>
    <w:tmpl w:val="41397A94"/>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7">
    <w:nsid w:val="45D4233F"/>
    <w:multiLevelType w:val="multilevel"/>
    <w:tmpl w:val="45D4233F"/>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8">
    <w:nsid w:val="473E57E1"/>
    <w:multiLevelType w:val="multilevel"/>
    <w:tmpl w:val="473E57E1"/>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9">
    <w:nsid w:val="49AD4837"/>
    <w:multiLevelType w:val="multilevel"/>
    <w:tmpl w:val="49AD4837"/>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20">
    <w:nsid w:val="4EA42738"/>
    <w:multiLevelType w:val="multilevel"/>
    <w:tmpl w:val="4EA42738"/>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21">
    <w:nsid w:val="52EF6A9A"/>
    <w:multiLevelType w:val="multilevel"/>
    <w:tmpl w:val="52EF6A9A"/>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22">
    <w:nsid w:val="557249DE"/>
    <w:multiLevelType w:val="multilevel"/>
    <w:tmpl w:val="557249DE"/>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23">
    <w:nsid w:val="559C1669"/>
    <w:multiLevelType w:val="multilevel"/>
    <w:tmpl w:val="559C1669"/>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24">
    <w:nsid w:val="57BA40F1"/>
    <w:multiLevelType w:val="multilevel"/>
    <w:tmpl w:val="57BA40F1"/>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25">
    <w:nsid w:val="5FBC0A8B"/>
    <w:multiLevelType w:val="multilevel"/>
    <w:tmpl w:val="5FBC0A8B"/>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26">
    <w:nsid w:val="669C3F55"/>
    <w:multiLevelType w:val="multilevel"/>
    <w:tmpl w:val="669C3F55"/>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27">
    <w:nsid w:val="69B93714"/>
    <w:multiLevelType w:val="multilevel"/>
    <w:tmpl w:val="69B93714"/>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28">
    <w:nsid w:val="70C7456C"/>
    <w:multiLevelType w:val="multilevel"/>
    <w:tmpl w:val="70C7456C"/>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29">
    <w:nsid w:val="72061574"/>
    <w:multiLevelType w:val="multilevel"/>
    <w:tmpl w:val="72061574"/>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30">
    <w:nsid w:val="76D50D12"/>
    <w:multiLevelType w:val="multilevel"/>
    <w:tmpl w:val="76D50D12"/>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31">
    <w:nsid w:val="77DB5A06"/>
    <w:multiLevelType w:val="multilevel"/>
    <w:tmpl w:val="77DB5A06"/>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32">
    <w:nsid w:val="786B79B6"/>
    <w:multiLevelType w:val="multilevel"/>
    <w:tmpl w:val="786B79B6"/>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33">
    <w:nsid w:val="78B205ED"/>
    <w:multiLevelType w:val="multilevel"/>
    <w:tmpl w:val="78B205ED"/>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34">
    <w:nsid w:val="7FAD7356"/>
    <w:multiLevelType w:val="multilevel"/>
    <w:tmpl w:val="7FAD7356"/>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num w:numId="1">
    <w:abstractNumId w:val="1"/>
  </w:num>
  <w:num w:numId="2">
    <w:abstractNumId w:val="9"/>
  </w:num>
  <w:num w:numId="3">
    <w:abstractNumId w:val="23"/>
  </w:num>
  <w:num w:numId="4">
    <w:abstractNumId w:val="3"/>
  </w:num>
  <w:num w:numId="5">
    <w:abstractNumId w:val="11"/>
  </w:num>
  <w:num w:numId="6">
    <w:abstractNumId w:val="19"/>
  </w:num>
  <w:num w:numId="7">
    <w:abstractNumId w:val="28"/>
  </w:num>
  <w:num w:numId="8">
    <w:abstractNumId w:val="21"/>
  </w:num>
  <w:num w:numId="9">
    <w:abstractNumId w:val="7"/>
  </w:num>
  <w:num w:numId="10">
    <w:abstractNumId w:val="4"/>
  </w:num>
  <w:num w:numId="11">
    <w:abstractNumId w:val="2"/>
  </w:num>
  <w:num w:numId="12">
    <w:abstractNumId w:val="15"/>
  </w:num>
  <w:num w:numId="13">
    <w:abstractNumId w:val="22"/>
  </w:num>
  <w:num w:numId="14">
    <w:abstractNumId w:val="26"/>
  </w:num>
  <w:num w:numId="15">
    <w:abstractNumId w:val="0"/>
  </w:num>
  <w:num w:numId="16">
    <w:abstractNumId w:val="25"/>
  </w:num>
  <w:num w:numId="17">
    <w:abstractNumId w:val="34"/>
  </w:num>
  <w:num w:numId="18">
    <w:abstractNumId w:val="27"/>
  </w:num>
  <w:num w:numId="19">
    <w:abstractNumId w:val="30"/>
  </w:num>
  <w:num w:numId="20">
    <w:abstractNumId w:val="8"/>
  </w:num>
  <w:num w:numId="21">
    <w:abstractNumId w:val="32"/>
  </w:num>
  <w:num w:numId="22">
    <w:abstractNumId w:val="24"/>
  </w:num>
  <w:num w:numId="23">
    <w:abstractNumId w:val="33"/>
  </w:num>
  <w:num w:numId="24">
    <w:abstractNumId w:val="16"/>
  </w:num>
  <w:num w:numId="25">
    <w:abstractNumId w:val="12"/>
  </w:num>
  <w:num w:numId="26">
    <w:abstractNumId w:val="17"/>
  </w:num>
  <w:num w:numId="27">
    <w:abstractNumId w:val="6"/>
  </w:num>
  <w:num w:numId="28">
    <w:abstractNumId w:val="10"/>
  </w:num>
  <w:num w:numId="29">
    <w:abstractNumId w:val="18"/>
  </w:num>
  <w:num w:numId="30">
    <w:abstractNumId w:val="20"/>
  </w:num>
  <w:num w:numId="31">
    <w:abstractNumId w:val="29"/>
  </w:num>
  <w:num w:numId="32">
    <w:abstractNumId w:val="14"/>
  </w:num>
  <w:num w:numId="33">
    <w:abstractNumId w:val="13"/>
  </w:num>
  <w:num w:numId="34">
    <w:abstractNumId w:val="5"/>
  </w:num>
  <w:num w:numId="35">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NotDisplayPageBoundaries w:val="1"/>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49D6"/>
    <w:rsid w:val="002A572B"/>
    <w:rsid w:val="006528A7"/>
    <w:rsid w:val="00CA49D6"/>
    <w:rsid w:val="00D523AA"/>
    <w:rsid w:val="333A2D6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78" w:lineRule="auto"/>
    </w:pPr>
    <w:rPr>
      <w:rFonts w:asciiTheme="minorHAnsi" w:hAnsiTheme="minorHAnsi" w:eastAsiaTheme="minorEastAsia" w:cstheme="minorBidi"/>
      <w:kern w:val="2"/>
      <w:sz w:val="24"/>
      <w:szCs w:val="24"/>
      <w:lang w:val="en-US" w:eastAsia="zh-CN" w:bidi="ar-SA"/>
      <w14:ligatures w14:val="standardContextual"/>
    </w:rPr>
  </w:style>
  <w:style w:type="paragraph" w:styleId="2">
    <w:name w:val="heading 1"/>
    <w:basedOn w:val="1"/>
    <w:next w:val="1"/>
    <w:link w:val="16"/>
    <w:qFormat/>
    <w:uiPriority w:val="9"/>
    <w:pPr>
      <w:keepNext/>
      <w:keepLines/>
      <w:spacing w:before="360" w:after="80"/>
      <w:outlineLvl w:val="0"/>
    </w:pPr>
    <w:rPr>
      <w:rFonts w:asciiTheme="majorHAnsi" w:hAnsiTheme="majorHAnsi" w:eastAsiaTheme="majorEastAsia" w:cstheme="majorBidi"/>
      <w:color w:val="104862" w:themeColor="accent1" w:themeShade="BF"/>
      <w:sz w:val="40"/>
      <w:szCs w:val="40"/>
    </w:rPr>
  </w:style>
  <w:style w:type="paragraph" w:styleId="3">
    <w:name w:val="heading 2"/>
    <w:basedOn w:val="1"/>
    <w:next w:val="1"/>
    <w:link w:val="17"/>
    <w:semiHidden/>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32"/>
      <w:szCs w:val="32"/>
    </w:rPr>
  </w:style>
  <w:style w:type="paragraph" w:styleId="4">
    <w:name w:val="heading 3"/>
    <w:basedOn w:val="1"/>
    <w:next w:val="1"/>
    <w:link w:val="18"/>
    <w:semiHidden/>
    <w:unhideWhenUsed/>
    <w:qFormat/>
    <w:uiPriority w:val="9"/>
    <w:pPr>
      <w:keepNext/>
      <w:keepLines/>
      <w:spacing w:before="160" w:after="80"/>
      <w:outlineLvl w:val="2"/>
    </w:pPr>
    <w:rPr>
      <w:rFonts w:eastAsiaTheme="majorEastAsia" w:cstheme="majorBidi"/>
      <w:color w:val="104862" w:themeColor="accent1" w:themeShade="BF"/>
      <w:sz w:val="28"/>
      <w:szCs w:val="28"/>
    </w:rPr>
  </w:style>
  <w:style w:type="paragraph" w:styleId="5">
    <w:name w:val="heading 4"/>
    <w:basedOn w:val="1"/>
    <w:next w:val="1"/>
    <w:link w:val="19"/>
    <w:semiHidden/>
    <w:unhideWhenUsed/>
    <w:qFormat/>
    <w:uiPriority w:val="9"/>
    <w:pPr>
      <w:keepNext/>
      <w:keepLines/>
      <w:spacing w:before="80" w:after="40"/>
      <w:outlineLvl w:val="3"/>
    </w:pPr>
    <w:rPr>
      <w:rFonts w:eastAsiaTheme="majorEastAsia" w:cstheme="majorBidi"/>
      <w:i/>
      <w:iCs/>
      <w:color w:val="104862" w:themeColor="accent1" w:themeShade="BF"/>
    </w:rPr>
  </w:style>
  <w:style w:type="paragraph" w:styleId="6">
    <w:name w:val="heading 5"/>
    <w:basedOn w:val="1"/>
    <w:next w:val="1"/>
    <w:link w:val="20"/>
    <w:semiHidden/>
    <w:unhideWhenUsed/>
    <w:qFormat/>
    <w:uiPriority w:val="9"/>
    <w:pPr>
      <w:keepNext/>
      <w:keepLines/>
      <w:spacing w:before="80" w:after="40"/>
      <w:outlineLvl w:val="4"/>
    </w:pPr>
    <w:rPr>
      <w:rFonts w:eastAsiaTheme="majorEastAsia" w:cstheme="majorBidi"/>
      <w:color w:val="104862" w:themeColor="accent1" w:themeShade="BF"/>
    </w:rPr>
  </w:style>
  <w:style w:type="paragraph" w:styleId="7">
    <w:name w:val="heading 6"/>
    <w:basedOn w:val="1"/>
    <w:next w:val="1"/>
    <w:link w:val="21"/>
    <w:semiHidden/>
    <w:unhideWhenUsed/>
    <w:qFormat/>
    <w:uiPriority w:val="9"/>
    <w:pPr>
      <w:keepNext/>
      <w:keepLines/>
      <w:spacing w:before="40" w:after="0"/>
      <w:outlineLvl w:val="5"/>
    </w:pPr>
    <w:rPr>
      <w:rFonts w:eastAsiaTheme="majorEastAsia" w:cstheme="majorBidi"/>
      <w:i/>
      <w:iCs/>
      <w:color w:val="595959" w:themeColor="text1" w:themeTint="A6"/>
      <w14:textFill>
        <w14:solidFill>
          <w14:schemeClr w14:val="tx1">
            <w14:lumMod w14:val="65000"/>
            <w14:lumOff w14:val="35000"/>
          </w14:schemeClr>
        </w14:solidFill>
      </w14:textFill>
    </w:rPr>
  </w:style>
  <w:style w:type="paragraph" w:styleId="8">
    <w:name w:val="heading 7"/>
    <w:basedOn w:val="1"/>
    <w:next w:val="1"/>
    <w:link w:val="22"/>
    <w:semiHidden/>
    <w:unhideWhenUsed/>
    <w:qFormat/>
    <w:uiPriority w:val="9"/>
    <w:pPr>
      <w:keepNext/>
      <w:keepLines/>
      <w:spacing w:before="40" w:after="0"/>
      <w:outlineLvl w:val="6"/>
    </w:pPr>
    <w:rPr>
      <w:rFonts w:eastAsiaTheme="majorEastAsia" w:cstheme="majorBidi"/>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3"/>
    <w:semiHidden/>
    <w:unhideWhenUsed/>
    <w:qFormat/>
    <w:uiPriority w:val="9"/>
    <w:pPr>
      <w:keepNext/>
      <w:keepLines/>
      <w:spacing w:after="0"/>
      <w:outlineLvl w:val="7"/>
    </w:pPr>
    <w:rPr>
      <w:rFonts w:eastAsiaTheme="majorEastAsia" w:cstheme="majorBidi"/>
      <w:i/>
      <w:iCs/>
      <w:color w:val="262626" w:themeColor="text1" w:themeTint="D9"/>
      <w14:textFill>
        <w14:solidFill>
          <w14:schemeClr w14:val="tx1">
            <w14:lumMod w14:val="85000"/>
            <w14:lumOff w14:val="15000"/>
          </w14:schemeClr>
        </w14:solidFill>
      </w14:textFill>
    </w:rPr>
  </w:style>
  <w:style w:type="paragraph" w:styleId="10">
    <w:name w:val="heading 9"/>
    <w:basedOn w:val="1"/>
    <w:next w:val="1"/>
    <w:link w:val="24"/>
    <w:semiHidden/>
    <w:unhideWhenUsed/>
    <w:qFormat/>
    <w:uiPriority w:val="9"/>
    <w:pPr>
      <w:keepNext/>
      <w:keepLines/>
      <w:spacing w:after="0"/>
      <w:outlineLvl w:val="8"/>
    </w:pPr>
    <w:rPr>
      <w:rFonts w:eastAsiaTheme="majorEastAsia" w:cstheme="majorBidi"/>
      <w:color w:val="262626" w:themeColor="text1" w:themeTint="D9"/>
      <w14:textFill>
        <w14:solidFill>
          <w14:schemeClr w14:val="tx1">
            <w14:lumMod w14:val="85000"/>
            <w14:lumOff w14:val="15000"/>
          </w14:schemeClr>
        </w14:solidFill>
      </w14:textFill>
    </w:rPr>
  </w:style>
  <w:style w:type="character" w:default="1" w:styleId="14">
    <w:name w:val="Default Paragraph Font"/>
    <w:unhideWhenUsed/>
    <w:uiPriority w:val="1"/>
  </w:style>
  <w:style w:type="table" w:default="1" w:styleId="13">
    <w:name w:val="Normal Table"/>
    <w:semiHidden/>
    <w:unhideWhenUsed/>
    <w:uiPriority w:val="99"/>
    <w:tblPr>
      <w:tblCellMar>
        <w:top w:w="0" w:type="dxa"/>
        <w:left w:w="108" w:type="dxa"/>
        <w:bottom w:w="0" w:type="dxa"/>
        <w:right w:w="108" w:type="dxa"/>
      </w:tblCellMar>
    </w:tblPr>
  </w:style>
  <w:style w:type="paragraph" w:styleId="11">
    <w:name w:val="Subtitle"/>
    <w:basedOn w:val="1"/>
    <w:next w:val="1"/>
    <w:link w:val="26"/>
    <w:qFormat/>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2">
    <w:name w:val="Title"/>
    <w:basedOn w:val="1"/>
    <w:next w:val="1"/>
    <w:link w:val="25"/>
    <w:qFormat/>
    <w:uiPriority w:val="10"/>
    <w:pPr>
      <w:spacing w:after="80" w:line="240" w:lineRule="auto"/>
      <w:contextualSpacing/>
    </w:pPr>
    <w:rPr>
      <w:rFonts w:asciiTheme="majorHAnsi" w:hAnsiTheme="majorHAnsi" w:eastAsiaTheme="majorEastAsia" w:cstheme="majorBidi"/>
      <w:spacing w:val="-10"/>
      <w:kern w:val="28"/>
      <w:sz w:val="56"/>
      <w:szCs w:val="56"/>
    </w:rPr>
  </w:style>
  <w:style w:type="character" w:styleId="15">
    <w:name w:val="Hyperlink"/>
    <w:basedOn w:val="14"/>
    <w:unhideWhenUsed/>
    <w:qFormat/>
    <w:uiPriority w:val="99"/>
    <w:rPr>
      <w:color w:val="467886" w:themeColor="hyperlink"/>
      <w:u w:val="single"/>
      <w14:textFill>
        <w14:solidFill>
          <w14:schemeClr w14:val="hlink"/>
        </w14:solidFill>
      </w14:textFill>
    </w:rPr>
  </w:style>
  <w:style w:type="character" w:customStyle="1" w:styleId="16">
    <w:name w:val="Heading 1 Char"/>
    <w:basedOn w:val="14"/>
    <w:link w:val="2"/>
    <w:uiPriority w:val="9"/>
    <w:rPr>
      <w:rFonts w:asciiTheme="majorHAnsi" w:hAnsiTheme="majorHAnsi" w:eastAsiaTheme="majorEastAsia" w:cstheme="majorBidi"/>
      <w:color w:val="104862" w:themeColor="accent1" w:themeShade="BF"/>
      <w:sz w:val="40"/>
      <w:szCs w:val="40"/>
    </w:rPr>
  </w:style>
  <w:style w:type="character" w:customStyle="1" w:styleId="17">
    <w:name w:val="Heading 2 Char"/>
    <w:basedOn w:val="14"/>
    <w:link w:val="3"/>
    <w:semiHidden/>
    <w:qFormat/>
    <w:uiPriority w:val="9"/>
    <w:rPr>
      <w:rFonts w:asciiTheme="majorHAnsi" w:hAnsiTheme="majorHAnsi" w:eastAsiaTheme="majorEastAsia" w:cstheme="majorBidi"/>
      <w:color w:val="104862" w:themeColor="accent1" w:themeShade="BF"/>
      <w:sz w:val="32"/>
      <w:szCs w:val="32"/>
    </w:rPr>
  </w:style>
  <w:style w:type="character" w:customStyle="1" w:styleId="18">
    <w:name w:val="Heading 3 Char"/>
    <w:basedOn w:val="14"/>
    <w:link w:val="4"/>
    <w:semiHidden/>
    <w:qFormat/>
    <w:uiPriority w:val="9"/>
    <w:rPr>
      <w:rFonts w:eastAsiaTheme="majorEastAsia" w:cstheme="majorBidi"/>
      <w:color w:val="104862" w:themeColor="accent1" w:themeShade="BF"/>
      <w:sz w:val="28"/>
      <w:szCs w:val="28"/>
    </w:rPr>
  </w:style>
  <w:style w:type="character" w:customStyle="1" w:styleId="19">
    <w:name w:val="Heading 4 Char"/>
    <w:basedOn w:val="14"/>
    <w:link w:val="5"/>
    <w:semiHidden/>
    <w:qFormat/>
    <w:uiPriority w:val="9"/>
    <w:rPr>
      <w:rFonts w:eastAsiaTheme="majorEastAsia" w:cstheme="majorBidi"/>
      <w:i/>
      <w:iCs/>
      <w:color w:val="104862" w:themeColor="accent1" w:themeShade="BF"/>
    </w:rPr>
  </w:style>
  <w:style w:type="character" w:customStyle="1" w:styleId="20">
    <w:name w:val="Heading 5 Char"/>
    <w:basedOn w:val="14"/>
    <w:link w:val="6"/>
    <w:semiHidden/>
    <w:qFormat/>
    <w:uiPriority w:val="9"/>
    <w:rPr>
      <w:rFonts w:eastAsiaTheme="majorEastAsia" w:cstheme="majorBidi"/>
      <w:color w:val="104862" w:themeColor="accent1" w:themeShade="BF"/>
    </w:rPr>
  </w:style>
  <w:style w:type="character" w:customStyle="1" w:styleId="21">
    <w:name w:val="Heading 6 Char"/>
    <w:basedOn w:val="14"/>
    <w:link w:val="7"/>
    <w:semiHidden/>
    <w:qFormat/>
    <w:uiPriority w:val="9"/>
    <w:rPr>
      <w:rFonts w:eastAsiaTheme="majorEastAsia" w:cstheme="majorBidi"/>
      <w:i/>
      <w:iCs/>
      <w:color w:val="595959" w:themeColor="text1" w:themeTint="A6"/>
      <w14:textFill>
        <w14:solidFill>
          <w14:schemeClr w14:val="tx1">
            <w14:lumMod w14:val="65000"/>
            <w14:lumOff w14:val="35000"/>
          </w14:schemeClr>
        </w14:solidFill>
      </w14:textFill>
    </w:rPr>
  </w:style>
  <w:style w:type="character" w:customStyle="1" w:styleId="22">
    <w:name w:val="Heading 7 Char"/>
    <w:basedOn w:val="14"/>
    <w:link w:val="8"/>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3">
    <w:name w:val="Heading 8 Char"/>
    <w:basedOn w:val="14"/>
    <w:link w:val="9"/>
    <w:semiHidden/>
    <w:qFormat/>
    <w:uiPriority w:val="9"/>
    <w:rPr>
      <w:rFonts w:eastAsiaTheme="majorEastAsia" w:cstheme="majorBidi"/>
      <w:i/>
      <w:iCs/>
      <w:color w:val="262626" w:themeColor="text1" w:themeTint="D9"/>
      <w14:textFill>
        <w14:solidFill>
          <w14:schemeClr w14:val="tx1">
            <w14:lumMod w14:val="85000"/>
            <w14:lumOff w14:val="15000"/>
          </w14:schemeClr>
        </w14:solidFill>
      </w14:textFill>
    </w:rPr>
  </w:style>
  <w:style w:type="character" w:customStyle="1" w:styleId="24">
    <w:name w:val="Heading 9 Char"/>
    <w:basedOn w:val="14"/>
    <w:link w:val="10"/>
    <w:semiHidden/>
    <w:qFormat/>
    <w:uiPriority w:val="9"/>
    <w:rPr>
      <w:rFonts w:eastAsiaTheme="majorEastAsia" w:cstheme="majorBidi"/>
      <w:color w:val="262626" w:themeColor="text1" w:themeTint="D9"/>
      <w14:textFill>
        <w14:solidFill>
          <w14:schemeClr w14:val="tx1">
            <w14:lumMod w14:val="85000"/>
            <w14:lumOff w14:val="15000"/>
          </w14:schemeClr>
        </w14:solidFill>
      </w14:textFill>
    </w:rPr>
  </w:style>
  <w:style w:type="character" w:customStyle="1" w:styleId="25">
    <w:name w:val="Title Char"/>
    <w:basedOn w:val="14"/>
    <w:link w:val="12"/>
    <w:qFormat/>
    <w:uiPriority w:val="10"/>
    <w:rPr>
      <w:rFonts w:asciiTheme="majorHAnsi" w:hAnsiTheme="majorHAnsi" w:eastAsiaTheme="majorEastAsia" w:cstheme="majorBidi"/>
      <w:spacing w:val="-10"/>
      <w:kern w:val="28"/>
      <w:sz w:val="56"/>
      <w:szCs w:val="56"/>
    </w:rPr>
  </w:style>
  <w:style w:type="character" w:customStyle="1" w:styleId="26">
    <w:name w:val="Subtitle Char"/>
    <w:basedOn w:val="14"/>
    <w:link w:val="11"/>
    <w:qFormat/>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7">
    <w:name w:val="Quote"/>
    <w:basedOn w:val="1"/>
    <w:next w:val="1"/>
    <w:link w:val="28"/>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28">
    <w:name w:val="Quote Char"/>
    <w:basedOn w:val="14"/>
    <w:link w:val="27"/>
    <w:qFormat/>
    <w:uiPriority w:val="29"/>
    <w:rPr>
      <w:i/>
      <w:iCs/>
      <w:color w:val="404040" w:themeColor="text1" w:themeTint="BF"/>
      <w14:textFill>
        <w14:solidFill>
          <w14:schemeClr w14:val="tx1">
            <w14:lumMod w14:val="75000"/>
            <w14:lumOff w14:val="25000"/>
          </w14:schemeClr>
        </w14:solidFill>
      </w14:textFill>
    </w:rPr>
  </w:style>
  <w:style w:type="paragraph" w:styleId="29">
    <w:name w:val="List Paragraph"/>
    <w:basedOn w:val="1"/>
    <w:qFormat/>
    <w:uiPriority w:val="34"/>
    <w:pPr>
      <w:ind w:left="720"/>
      <w:contextualSpacing/>
    </w:pPr>
  </w:style>
  <w:style w:type="character" w:customStyle="1" w:styleId="30">
    <w:name w:val="Intense Emphasis"/>
    <w:basedOn w:val="14"/>
    <w:qFormat/>
    <w:uiPriority w:val="21"/>
    <w:rPr>
      <w:i/>
      <w:iCs/>
      <w:color w:val="104862" w:themeColor="accent1" w:themeShade="BF"/>
    </w:rPr>
  </w:style>
  <w:style w:type="paragraph" w:styleId="31">
    <w:name w:val="Intense Quote"/>
    <w:basedOn w:val="1"/>
    <w:next w:val="1"/>
    <w:link w:val="32"/>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32">
    <w:name w:val="Intense Quote Char"/>
    <w:basedOn w:val="14"/>
    <w:link w:val="31"/>
    <w:qFormat/>
    <w:uiPriority w:val="30"/>
    <w:rPr>
      <w:i/>
      <w:iCs/>
      <w:color w:val="104862" w:themeColor="accent1" w:themeShade="BF"/>
    </w:rPr>
  </w:style>
  <w:style w:type="character" w:customStyle="1" w:styleId="33">
    <w:name w:val="Intense Reference"/>
    <w:basedOn w:val="14"/>
    <w:qFormat/>
    <w:uiPriority w:val="32"/>
    <w:rPr>
      <w:b/>
      <w:bCs/>
      <w:smallCaps/>
      <w:color w:val="104862" w:themeColor="accent1" w:themeShade="BF"/>
      <w:spacing w:val="5"/>
    </w:rPr>
  </w:style>
  <w:style w:type="character" w:customStyle="1" w:styleId="34">
    <w:name w:val="Unresolved Mention"/>
    <w:basedOn w:val="14"/>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Template>Normal</Template>
  <Pages>41</Pages>
  <Words>942</Words>
  <Characters>6463</Characters>
  <Lines>259</Lines>
  <Paragraphs>73</Paragraphs>
  <TotalTime>26</TotalTime>
  <ScaleCrop>false</ScaleCrop>
  <LinksUpToDate>false</LinksUpToDate>
  <CharactersWithSpaces>7274</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2025-11-04T16:23:00Z</dcterms:created>
  <dc:creator>jin.huang@ambow.com</dc:creator>
  <cp:lastModifiedBy>侯松岩</cp:lastModifiedBy>
  <dcterms:modified xsi:type="dcterms:W3CDTF">2025-12-16T03:39:31Z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BA40AACEE7BF420D947873BDE06C5FBC_13</vt:lpwstr>
  </property>
</Properties>
</file>